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6E2" w:rsidRDefault="009006E2" w:rsidP="009006E2">
      <w:pPr>
        <w:pStyle w:val="a7"/>
        <w:spacing w:line="400" w:lineRule="atLeast"/>
        <w:jc w:val="center"/>
        <w:rPr>
          <w:b/>
        </w:rPr>
      </w:pPr>
      <w:r w:rsidRPr="000C59B5">
        <w:rPr>
          <w:rFonts w:hint="eastAsia"/>
          <w:b/>
        </w:rPr>
        <w:t>《粮油检测</w:t>
      </w:r>
      <w:r w:rsidR="000E711A">
        <w:rPr>
          <w:rFonts w:hint="eastAsia"/>
          <w:b/>
        </w:rPr>
        <w:t>粮食中脱氧雪腐镰刀菌烯醇</w:t>
      </w:r>
      <w:r w:rsidRPr="000C59B5">
        <w:rPr>
          <w:rFonts w:hint="eastAsia"/>
          <w:b/>
        </w:rPr>
        <w:t>测定</w:t>
      </w:r>
      <w:r>
        <w:rPr>
          <w:rFonts w:hint="eastAsia"/>
          <w:b/>
        </w:rPr>
        <w:t>胶体金</w:t>
      </w:r>
      <w:r w:rsidR="000E711A">
        <w:rPr>
          <w:rFonts w:hint="eastAsia"/>
          <w:b/>
        </w:rPr>
        <w:t>快速定量</w:t>
      </w:r>
      <w:r w:rsidRPr="000C59B5">
        <w:rPr>
          <w:rFonts w:hint="eastAsia"/>
          <w:b/>
        </w:rPr>
        <w:t>法》</w:t>
      </w:r>
    </w:p>
    <w:p w:rsidR="008B1728" w:rsidRPr="000C59B5" w:rsidRDefault="008B1728" w:rsidP="009006E2">
      <w:pPr>
        <w:pStyle w:val="a7"/>
        <w:spacing w:line="400" w:lineRule="atLeast"/>
        <w:jc w:val="center"/>
        <w:rPr>
          <w:b/>
        </w:rPr>
      </w:pPr>
    </w:p>
    <w:p w:rsidR="009006E2" w:rsidRDefault="009006E2" w:rsidP="009006E2">
      <w:pPr>
        <w:pStyle w:val="2"/>
        <w:spacing w:line="360" w:lineRule="auto"/>
        <w:ind w:leftChars="0" w:left="0"/>
        <w:jc w:val="center"/>
        <w:rPr>
          <w:b/>
          <w:sz w:val="24"/>
        </w:rPr>
      </w:pPr>
      <w:r w:rsidRPr="008B1728">
        <w:rPr>
          <w:rFonts w:hint="eastAsia"/>
          <w:b/>
          <w:sz w:val="44"/>
          <w:szCs w:val="44"/>
        </w:rPr>
        <w:t>编制说明</w:t>
      </w:r>
    </w:p>
    <w:p w:rsidR="009006E2" w:rsidRPr="009006E2" w:rsidRDefault="009006E2" w:rsidP="009006E2">
      <w:pPr>
        <w:autoSpaceDE w:val="0"/>
        <w:autoSpaceDN w:val="0"/>
        <w:adjustRightInd w:val="0"/>
        <w:spacing w:line="360" w:lineRule="auto"/>
        <w:ind w:firstLineChars="200" w:firstLine="420"/>
        <w:jc w:val="left"/>
        <w:rPr>
          <w:rFonts w:cs="宋体"/>
          <w:kern w:val="0"/>
          <w:szCs w:val="21"/>
        </w:rPr>
      </w:pPr>
      <w:r w:rsidRPr="009006E2">
        <w:rPr>
          <w:rFonts w:cs="宋体" w:hint="eastAsia"/>
          <w:kern w:val="0"/>
          <w:szCs w:val="21"/>
        </w:rPr>
        <w:t>脱氧</w:t>
      </w:r>
      <w:r w:rsidR="00A51B53">
        <w:rPr>
          <w:rFonts w:cs="宋体" w:hint="eastAsia"/>
          <w:kern w:val="0"/>
          <w:szCs w:val="21"/>
        </w:rPr>
        <w:t>雪腐</w:t>
      </w:r>
      <w:r w:rsidRPr="009006E2">
        <w:rPr>
          <w:rFonts w:cs="宋体" w:hint="eastAsia"/>
          <w:kern w:val="0"/>
          <w:szCs w:val="21"/>
        </w:rPr>
        <w:t>镰刀菌烯醇（</w:t>
      </w:r>
      <w:r w:rsidRPr="009006E2">
        <w:rPr>
          <w:rFonts w:cs="宋体" w:hint="eastAsia"/>
          <w:kern w:val="0"/>
          <w:szCs w:val="21"/>
        </w:rPr>
        <w:t>Dexynivalenol</w:t>
      </w:r>
      <w:r w:rsidRPr="009006E2">
        <w:rPr>
          <w:rFonts w:cs="宋体" w:hint="eastAsia"/>
          <w:kern w:val="0"/>
          <w:szCs w:val="21"/>
        </w:rPr>
        <w:t>，</w:t>
      </w:r>
      <w:r w:rsidRPr="009006E2">
        <w:rPr>
          <w:rFonts w:cs="宋体" w:hint="eastAsia"/>
          <w:kern w:val="0"/>
          <w:szCs w:val="21"/>
        </w:rPr>
        <w:t>DON</w:t>
      </w:r>
      <w:r w:rsidRPr="009006E2">
        <w:rPr>
          <w:rFonts w:cs="宋体" w:hint="eastAsia"/>
          <w:kern w:val="0"/>
          <w:szCs w:val="21"/>
        </w:rPr>
        <w:t>）又称呕吐毒素，通常存在于大麦、小麦、燕麦和玉米等作物中</w:t>
      </w:r>
      <w:r w:rsidR="00A51B53">
        <w:rPr>
          <w:rFonts w:cs="宋体" w:hint="eastAsia"/>
          <w:kern w:val="0"/>
          <w:szCs w:val="21"/>
        </w:rPr>
        <w:t>，</w:t>
      </w:r>
      <w:r w:rsidRPr="009006E2">
        <w:rPr>
          <w:rFonts w:cs="宋体" w:hint="eastAsia"/>
          <w:kern w:val="0"/>
          <w:szCs w:val="21"/>
        </w:rPr>
        <w:t>能引起人及动物的食欲下降、脏器损伤，并导致出现代谢紊乱以及生长抑制等症状，也对免疫功能和神经元结构功能产生明显影响。另外，</w:t>
      </w:r>
      <w:r w:rsidRPr="009006E2">
        <w:rPr>
          <w:rFonts w:cs="宋体" w:hint="eastAsia"/>
          <w:kern w:val="0"/>
          <w:szCs w:val="21"/>
        </w:rPr>
        <w:t>DON</w:t>
      </w:r>
      <w:r w:rsidRPr="009006E2">
        <w:rPr>
          <w:rFonts w:cs="宋体" w:hint="eastAsia"/>
          <w:kern w:val="0"/>
          <w:szCs w:val="21"/>
        </w:rPr>
        <w:t>还有致畸作用、胚胎毒性。由于脱氧雪腐镰刀菌烯醇具有以上危害，已经被联合国粮农组织（</w:t>
      </w:r>
      <w:r w:rsidRPr="009006E2">
        <w:rPr>
          <w:rFonts w:cs="宋体" w:hint="eastAsia"/>
          <w:kern w:val="0"/>
          <w:szCs w:val="21"/>
        </w:rPr>
        <w:t>FAO</w:t>
      </w:r>
      <w:r w:rsidRPr="009006E2">
        <w:rPr>
          <w:rFonts w:cs="宋体" w:hint="eastAsia"/>
          <w:kern w:val="0"/>
          <w:szCs w:val="21"/>
        </w:rPr>
        <w:t>）和世界卫生组织（</w:t>
      </w:r>
      <w:r w:rsidRPr="009006E2">
        <w:rPr>
          <w:rFonts w:cs="宋体" w:hint="eastAsia"/>
          <w:kern w:val="0"/>
          <w:szCs w:val="21"/>
        </w:rPr>
        <w:t>WHO</w:t>
      </w:r>
      <w:r w:rsidRPr="009006E2">
        <w:rPr>
          <w:rFonts w:cs="宋体" w:hint="eastAsia"/>
          <w:kern w:val="0"/>
          <w:szCs w:val="21"/>
        </w:rPr>
        <w:t>）确定为最危险的自然发生的食品污染物之一。我国国家标准</w:t>
      </w:r>
      <w:r w:rsidRPr="009006E2">
        <w:rPr>
          <w:rFonts w:cs="宋体" w:hint="eastAsia"/>
          <w:kern w:val="0"/>
          <w:szCs w:val="21"/>
        </w:rPr>
        <w:t>GB 2761-2011</w:t>
      </w:r>
      <w:r w:rsidRPr="009006E2">
        <w:rPr>
          <w:rFonts w:cs="宋体" w:hint="eastAsia"/>
          <w:kern w:val="0"/>
          <w:szCs w:val="21"/>
        </w:rPr>
        <w:t>（食品中真菌毒素限量）中对谷物及其制品中的</w:t>
      </w:r>
      <w:r w:rsidRPr="009006E2">
        <w:rPr>
          <w:rFonts w:cs="宋体" w:hint="eastAsia"/>
          <w:kern w:val="0"/>
          <w:szCs w:val="21"/>
        </w:rPr>
        <w:t>DON</w:t>
      </w:r>
      <w:r w:rsidRPr="009006E2">
        <w:rPr>
          <w:rFonts w:cs="宋体" w:hint="eastAsia"/>
          <w:kern w:val="0"/>
          <w:szCs w:val="21"/>
        </w:rPr>
        <w:t>最高限量要求为</w:t>
      </w:r>
      <w:r w:rsidRPr="009006E2">
        <w:rPr>
          <w:rFonts w:cs="宋体" w:hint="eastAsia"/>
          <w:kern w:val="0"/>
          <w:szCs w:val="21"/>
        </w:rPr>
        <w:t>1mg/kg</w:t>
      </w:r>
      <w:r w:rsidRPr="009006E2">
        <w:rPr>
          <w:rFonts w:cs="宋体" w:hint="eastAsia"/>
          <w:kern w:val="0"/>
          <w:szCs w:val="21"/>
        </w:rPr>
        <w:t>，欧盟制定的</w:t>
      </w:r>
      <w:r w:rsidRPr="009006E2">
        <w:rPr>
          <w:rFonts w:cs="宋体" w:hint="eastAsia"/>
          <w:kern w:val="0"/>
          <w:szCs w:val="21"/>
        </w:rPr>
        <w:t>DON</w:t>
      </w:r>
      <w:r w:rsidRPr="009006E2">
        <w:rPr>
          <w:rFonts w:cs="宋体" w:hint="eastAsia"/>
          <w:kern w:val="0"/>
          <w:szCs w:val="21"/>
        </w:rPr>
        <w:t>限量标准更严，为</w:t>
      </w:r>
      <w:r w:rsidRPr="009006E2">
        <w:rPr>
          <w:rFonts w:cs="宋体" w:hint="eastAsia"/>
          <w:kern w:val="0"/>
          <w:szCs w:val="21"/>
        </w:rPr>
        <w:t>0.</w:t>
      </w:r>
      <w:r w:rsidRPr="009006E2">
        <w:rPr>
          <w:rFonts w:cs="宋体"/>
          <w:kern w:val="0"/>
          <w:szCs w:val="21"/>
        </w:rPr>
        <w:t>75 mg</w:t>
      </w:r>
      <w:r w:rsidRPr="009006E2">
        <w:rPr>
          <w:rFonts w:cs="宋体" w:hint="eastAsia"/>
          <w:kern w:val="0"/>
          <w:szCs w:val="21"/>
        </w:rPr>
        <w:t>/</w:t>
      </w:r>
      <w:r w:rsidRPr="009006E2">
        <w:rPr>
          <w:rFonts w:cs="宋体"/>
          <w:kern w:val="0"/>
          <w:szCs w:val="21"/>
        </w:rPr>
        <w:t>kg</w:t>
      </w:r>
      <w:r w:rsidRPr="009006E2">
        <w:rPr>
          <w:rFonts w:cs="宋体" w:hint="eastAsia"/>
          <w:kern w:val="0"/>
          <w:szCs w:val="21"/>
        </w:rPr>
        <w:t>。</w:t>
      </w:r>
    </w:p>
    <w:p w:rsidR="009006E2" w:rsidRPr="009006E2" w:rsidRDefault="009006E2" w:rsidP="009006E2">
      <w:pPr>
        <w:autoSpaceDE w:val="0"/>
        <w:autoSpaceDN w:val="0"/>
        <w:adjustRightInd w:val="0"/>
        <w:spacing w:line="360" w:lineRule="auto"/>
        <w:ind w:firstLineChars="200" w:firstLine="420"/>
        <w:jc w:val="left"/>
        <w:rPr>
          <w:rFonts w:cs="宋体"/>
          <w:kern w:val="0"/>
          <w:szCs w:val="21"/>
        </w:rPr>
      </w:pPr>
      <w:r w:rsidRPr="009006E2">
        <w:rPr>
          <w:rFonts w:cs="宋体"/>
          <w:kern w:val="0"/>
          <w:szCs w:val="21"/>
        </w:rPr>
        <w:t>粮食中</w:t>
      </w:r>
      <w:r w:rsidRPr="009006E2">
        <w:rPr>
          <w:rFonts w:cs="宋体" w:hint="eastAsia"/>
          <w:kern w:val="0"/>
          <w:szCs w:val="21"/>
        </w:rPr>
        <w:t>脱氧雪腐镰刀菌烯醇</w:t>
      </w:r>
      <w:r w:rsidRPr="009006E2">
        <w:rPr>
          <w:rFonts w:cs="宋体"/>
          <w:kern w:val="0"/>
          <w:szCs w:val="21"/>
        </w:rPr>
        <w:t>的检测</w:t>
      </w:r>
      <w:r w:rsidRPr="009006E2">
        <w:rPr>
          <w:rFonts w:cs="宋体" w:hint="eastAsia"/>
          <w:kern w:val="0"/>
          <w:szCs w:val="21"/>
        </w:rPr>
        <w:t>方法有高通量的</w:t>
      </w:r>
      <w:r w:rsidRPr="009006E2">
        <w:rPr>
          <w:rFonts w:cs="宋体"/>
          <w:kern w:val="0"/>
          <w:szCs w:val="21"/>
        </w:rPr>
        <w:t>快速筛选法</w:t>
      </w:r>
      <w:r w:rsidRPr="009006E2">
        <w:rPr>
          <w:rFonts w:cs="宋体" w:hint="eastAsia"/>
          <w:kern w:val="0"/>
          <w:szCs w:val="21"/>
        </w:rPr>
        <w:t>即</w:t>
      </w:r>
      <w:r w:rsidRPr="009006E2">
        <w:rPr>
          <w:rFonts w:cs="宋体"/>
          <w:kern w:val="0"/>
          <w:szCs w:val="21"/>
        </w:rPr>
        <w:t>酶联免疫法；</w:t>
      </w:r>
      <w:r w:rsidRPr="009006E2">
        <w:rPr>
          <w:rFonts w:cs="宋体" w:hint="eastAsia"/>
          <w:kern w:val="0"/>
          <w:szCs w:val="21"/>
        </w:rPr>
        <w:t>也有</w:t>
      </w:r>
      <w:r w:rsidRPr="009006E2">
        <w:rPr>
          <w:rFonts w:cs="宋体"/>
          <w:kern w:val="0"/>
          <w:szCs w:val="21"/>
        </w:rPr>
        <w:t>确证方法薄层色谱法（</w:t>
      </w:r>
      <w:r w:rsidRPr="009006E2">
        <w:rPr>
          <w:rFonts w:cs="宋体"/>
          <w:kern w:val="0"/>
          <w:szCs w:val="21"/>
        </w:rPr>
        <w:t>TLC</w:t>
      </w:r>
      <w:r w:rsidRPr="009006E2">
        <w:rPr>
          <w:rFonts w:cs="宋体"/>
          <w:kern w:val="0"/>
          <w:szCs w:val="21"/>
        </w:rPr>
        <w:t>）、液相色谱法（</w:t>
      </w:r>
      <w:r w:rsidRPr="009006E2">
        <w:rPr>
          <w:rFonts w:cs="宋体"/>
          <w:kern w:val="0"/>
          <w:szCs w:val="21"/>
        </w:rPr>
        <w:t>LC</w:t>
      </w:r>
      <w:r w:rsidRPr="009006E2">
        <w:rPr>
          <w:rFonts w:cs="宋体"/>
          <w:kern w:val="0"/>
          <w:szCs w:val="21"/>
        </w:rPr>
        <w:t>）、气相色谱法（</w:t>
      </w:r>
      <w:r w:rsidRPr="009006E2">
        <w:rPr>
          <w:rFonts w:cs="宋体"/>
          <w:kern w:val="0"/>
          <w:szCs w:val="21"/>
        </w:rPr>
        <w:t>GC</w:t>
      </w:r>
      <w:r w:rsidRPr="009006E2">
        <w:rPr>
          <w:rFonts w:cs="宋体"/>
          <w:kern w:val="0"/>
          <w:szCs w:val="21"/>
        </w:rPr>
        <w:t>）、气质联用法和液质联用法等。</w:t>
      </w:r>
      <w:r w:rsidRPr="009006E2">
        <w:rPr>
          <w:rFonts w:cs="宋体"/>
          <w:kern w:val="0"/>
          <w:szCs w:val="21"/>
        </w:rPr>
        <w:t>TLC</w:t>
      </w:r>
      <w:r w:rsidRPr="009006E2">
        <w:rPr>
          <w:rFonts w:cs="宋体"/>
          <w:kern w:val="0"/>
          <w:szCs w:val="21"/>
        </w:rPr>
        <w:t>法在确证新发现真菌毒素和检测方法学研究方面具有一定的优越性，但精度低、操作复杂，近些年来的应用受到限制；</w:t>
      </w:r>
      <w:r w:rsidRPr="009006E2">
        <w:rPr>
          <w:rFonts w:cs="宋体"/>
          <w:kern w:val="0"/>
          <w:szCs w:val="21"/>
        </w:rPr>
        <w:t>GC-FID</w:t>
      </w:r>
      <w:r w:rsidRPr="009006E2">
        <w:rPr>
          <w:rFonts w:cs="宋体"/>
          <w:kern w:val="0"/>
          <w:szCs w:val="21"/>
        </w:rPr>
        <w:t>和</w:t>
      </w:r>
      <w:r w:rsidRPr="009006E2">
        <w:rPr>
          <w:rFonts w:cs="宋体"/>
          <w:kern w:val="0"/>
          <w:szCs w:val="21"/>
        </w:rPr>
        <w:t>GC-MS</w:t>
      </w:r>
      <w:r w:rsidRPr="009006E2">
        <w:rPr>
          <w:rFonts w:cs="宋体"/>
          <w:kern w:val="0"/>
          <w:szCs w:val="21"/>
        </w:rPr>
        <w:t>技术的应用因大多数真菌毒素对热不稳定而受限；</w:t>
      </w:r>
      <w:r w:rsidRPr="009006E2">
        <w:rPr>
          <w:rFonts w:cs="宋体"/>
          <w:kern w:val="0"/>
          <w:szCs w:val="21"/>
        </w:rPr>
        <w:t>LC</w:t>
      </w:r>
      <w:r w:rsidRPr="009006E2">
        <w:rPr>
          <w:rFonts w:cs="宋体"/>
          <w:kern w:val="0"/>
          <w:szCs w:val="21"/>
        </w:rPr>
        <w:t>和</w:t>
      </w:r>
      <w:r w:rsidRPr="009006E2">
        <w:rPr>
          <w:rFonts w:cs="宋体"/>
          <w:kern w:val="0"/>
          <w:szCs w:val="21"/>
        </w:rPr>
        <w:t>LCMS</w:t>
      </w:r>
      <w:r w:rsidRPr="009006E2">
        <w:rPr>
          <w:rFonts w:cs="宋体"/>
          <w:kern w:val="0"/>
          <w:szCs w:val="21"/>
        </w:rPr>
        <w:t>的方法可用于大多数真菌毒素的分析，具有稳定可靠、灵敏度高以及可进行多组分同时检测等特点而受到广泛应用，但是受到设备、人员和环境的制约，不适合基层人员的掌握和推广。因此，建立灵敏、准确、快速、便于操作的</w:t>
      </w:r>
      <w:r w:rsidRPr="009006E2">
        <w:rPr>
          <w:rFonts w:cs="宋体" w:hint="eastAsia"/>
          <w:kern w:val="0"/>
          <w:szCs w:val="21"/>
        </w:rPr>
        <w:t>脱氧雪腐镰刀菌烯醇</w:t>
      </w:r>
      <w:r w:rsidRPr="009006E2">
        <w:rPr>
          <w:rFonts w:cs="宋体"/>
          <w:kern w:val="0"/>
          <w:szCs w:val="21"/>
        </w:rPr>
        <w:t>检测技术，对于基层检查应用很有意义。</w:t>
      </w:r>
    </w:p>
    <w:p w:rsidR="009006E2" w:rsidRDefault="009006E2" w:rsidP="009006E2">
      <w:pPr>
        <w:autoSpaceDE w:val="0"/>
        <w:autoSpaceDN w:val="0"/>
        <w:adjustRightInd w:val="0"/>
        <w:spacing w:line="360" w:lineRule="auto"/>
        <w:ind w:firstLineChars="200" w:firstLine="420"/>
        <w:jc w:val="left"/>
        <w:rPr>
          <w:rFonts w:cs="宋体"/>
          <w:kern w:val="0"/>
          <w:szCs w:val="21"/>
        </w:rPr>
      </w:pPr>
      <w:r w:rsidRPr="009006E2">
        <w:rPr>
          <w:rFonts w:cs="宋体"/>
          <w:kern w:val="0"/>
          <w:szCs w:val="21"/>
        </w:rPr>
        <w:t>本</w:t>
      </w:r>
      <w:r>
        <w:rPr>
          <w:rFonts w:cs="宋体" w:hint="eastAsia"/>
          <w:kern w:val="0"/>
          <w:szCs w:val="21"/>
        </w:rPr>
        <w:t>标准项目</w:t>
      </w:r>
      <w:r w:rsidRPr="009006E2">
        <w:rPr>
          <w:rFonts w:cs="宋体"/>
          <w:kern w:val="0"/>
          <w:szCs w:val="21"/>
        </w:rPr>
        <w:t>是通过化学合成法制备</w:t>
      </w:r>
      <w:r w:rsidRPr="009006E2">
        <w:rPr>
          <w:rFonts w:cs="宋体" w:hint="eastAsia"/>
          <w:kern w:val="0"/>
          <w:szCs w:val="21"/>
        </w:rPr>
        <w:t>脱氧雪腐镰刀菌烯醇</w:t>
      </w:r>
      <w:r w:rsidRPr="009006E2">
        <w:rPr>
          <w:rFonts w:cs="宋体"/>
          <w:kern w:val="0"/>
          <w:szCs w:val="21"/>
        </w:rPr>
        <w:t>人工抗原，利用此抗原免疫实验动物制备</w:t>
      </w:r>
      <w:r w:rsidRPr="009006E2">
        <w:rPr>
          <w:rFonts w:cs="宋体" w:hint="eastAsia"/>
          <w:kern w:val="0"/>
          <w:szCs w:val="21"/>
        </w:rPr>
        <w:t>DON</w:t>
      </w:r>
      <w:r w:rsidRPr="009006E2">
        <w:rPr>
          <w:rFonts w:cs="宋体"/>
          <w:kern w:val="0"/>
          <w:szCs w:val="21"/>
        </w:rPr>
        <w:t>单克隆抗体，基于此原料基础上开发</w:t>
      </w:r>
      <w:r w:rsidRPr="009006E2">
        <w:rPr>
          <w:rFonts w:cs="宋体" w:hint="eastAsia"/>
          <w:kern w:val="0"/>
          <w:szCs w:val="21"/>
        </w:rPr>
        <w:t>DON</w:t>
      </w:r>
      <w:r w:rsidRPr="009006E2">
        <w:rPr>
          <w:rFonts w:cs="宋体"/>
          <w:kern w:val="0"/>
          <w:szCs w:val="21"/>
        </w:rPr>
        <w:t>快速检测试纸条，再通过胶体金读数仪进行玉米、小麦样品中</w:t>
      </w:r>
      <w:r w:rsidRPr="009006E2">
        <w:rPr>
          <w:rFonts w:cs="宋体" w:hint="eastAsia"/>
          <w:kern w:val="0"/>
          <w:szCs w:val="21"/>
        </w:rPr>
        <w:t>DON</w:t>
      </w:r>
      <w:r w:rsidRPr="009006E2">
        <w:rPr>
          <w:rFonts w:cs="宋体"/>
          <w:kern w:val="0"/>
          <w:szCs w:val="21"/>
        </w:rPr>
        <w:t>的定量分析。</w:t>
      </w:r>
      <w:r w:rsidRPr="000C59B5">
        <w:rPr>
          <w:rFonts w:ascii="宋体" w:cs="宋体" w:hint="eastAsia"/>
          <w:kern w:val="0"/>
          <w:szCs w:val="21"/>
        </w:rPr>
        <w:t>本标准有助于提高粮食样品检测、监测效率，降低成本，保护环境，保障从业人员健康安全。</w:t>
      </w:r>
    </w:p>
    <w:p w:rsidR="009006E2" w:rsidRPr="000C59B5" w:rsidRDefault="009006E2" w:rsidP="009006E2">
      <w:pPr>
        <w:spacing w:line="360" w:lineRule="auto"/>
        <w:rPr>
          <w:rFonts w:eastAsia="楷体_GB2312"/>
          <w:b/>
          <w:bCs/>
          <w:sz w:val="24"/>
          <w:lang w:val="en-GB"/>
        </w:rPr>
      </w:pPr>
      <w:r w:rsidRPr="000C59B5">
        <w:rPr>
          <w:rFonts w:eastAsia="楷体_GB2312"/>
          <w:b/>
          <w:bCs/>
          <w:sz w:val="24"/>
          <w:lang w:val="en-GB"/>
        </w:rPr>
        <w:t>1</w:t>
      </w:r>
      <w:r w:rsidRPr="000C59B5">
        <w:rPr>
          <w:rFonts w:eastAsia="楷体_GB2312"/>
          <w:b/>
          <w:bCs/>
          <w:sz w:val="24"/>
          <w:lang w:val="en-GB"/>
        </w:rPr>
        <w:t>工作简况</w:t>
      </w:r>
    </w:p>
    <w:p w:rsidR="009006E2" w:rsidRPr="000C59B5" w:rsidRDefault="009006E2" w:rsidP="009006E2">
      <w:pPr>
        <w:spacing w:line="360" w:lineRule="auto"/>
        <w:rPr>
          <w:rFonts w:eastAsia="楷体_GB2312"/>
          <w:b/>
          <w:bCs/>
          <w:sz w:val="24"/>
          <w:lang w:val="en-GB"/>
        </w:rPr>
      </w:pPr>
      <w:r w:rsidRPr="000C59B5">
        <w:rPr>
          <w:rFonts w:eastAsia="楷体_GB2312"/>
          <w:b/>
          <w:bCs/>
          <w:sz w:val="24"/>
          <w:lang w:val="en-GB"/>
        </w:rPr>
        <w:t>1.1</w:t>
      </w:r>
      <w:r w:rsidRPr="000C59B5">
        <w:rPr>
          <w:rFonts w:eastAsia="楷体_GB2312"/>
          <w:b/>
          <w:bCs/>
          <w:sz w:val="24"/>
          <w:lang w:val="en-GB"/>
        </w:rPr>
        <w:t>任务来源</w:t>
      </w:r>
      <w:r w:rsidRPr="000C59B5">
        <w:rPr>
          <w:rFonts w:eastAsia="楷体_GB2312" w:hint="eastAsia"/>
          <w:b/>
          <w:bCs/>
          <w:sz w:val="24"/>
          <w:lang w:val="en-GB"/>
        </w:rPr>
        <w:t>及起草单位</w:t>
      </w:r>
    </w:p>
    <w:p w:rsidR="005648E0" w:rsidRPr="009C6A05" w:rsidRDefault="00991A0F" w:rsidP="00991A0F">
      <w:pPr>
        <w:spacing w:line="360" w:lineRule="auto"/>
        <w:ind w:firstLineChars="200" w:firstLine="420"/>
        <w:rPr>
          <w:bCs/>
          <w:szCs w:val="21"/>
        </w:rPr>
      </w:pPr>
      <w:r w:rsidRPr="00991A0F">
        <w:rPr>
          <w:rFonts w:hint="eastAsia"/>
          <w:bCs/>
          <w:szCs w:val="21"/>
        </w:rPr>
        <w:t>本行业标准是在</w:t>
      </w:r>
      <w:r w:rsidRPr="00991A0F">
        <w:rPr>
          <w:rFonts w:hint="eastAsia"/>
          <w:bCs/>
          <w:szCs w:val="21"/>
        </w:rPr>
        <w:t>2012</w:t>
      </w:r>
      <w:r w:rsidRPr="00991A0F">
        <w:rPr>
          <w:rFonts w:hint="eastAsia"/>
          <w:bCs/>
          <w:szCs w:val="21"/>
        </w:rPr>
        <w:t>年</w:t>
      </w:r>
      <w:r w:rsidRPr="00991A0F">
        <w:rPr>
          <w:rFonts w:hint="eastAsia"/>
          <w:bCs/>
          <w:szCs w:val="21"/>
        </w:rPr>
        <w:t>12</w:t>
      </w:r>
      <w:r w:rsidRPr="00991A0F">
        <w:rPr>
          <w:rFonts w:hint="eastAsia"/>
          <w:bCs/>
          <w:szCs w:val="21"/>
        </w:rPr>
        <w:t>月国家粮食局标准质量中心组织对美国</w:t>
      </w:r>
      <w:r w:rsidRPr="00991A0F">
        <w:rPr>
          <w:rFonts w:hint="eastAsia"/>
          <w:bCs/>
          <w:szCs w:val="21"/>
        </w:rPr>
        <w:t>Charm</w:t>
      </w:r>
      <w:r w:rsidRPr="00991A0F">
        <w:rPr>
          <w:rFonts w:hint="eastAsia"/>
          <w:bCs/>
          <w:szCs w:val="21"/>
        </w:rPr>
        <w:t>公司开发的</w:t>
      </w:r>
      <w:r w:rsidRPr="00991A0F">
        <w:rPr>
          <w:rFonts w:hint="eastAsia"/>
          <w:bCs/>
          <w:szCs w:val="21"/>
        </w:rPr>
        <w:t>ROSA</w:t>
      </w:r>
      <w:r w:rsidRPr="00991A0F">
        <w:rPr>
          <w:rFonts w:hint="eastAsia"/>
          <w:bCs/>
          <w:szCs w:val="21"/>
        </w:rPr>
        <w:t>真菌毒素快速定量测试系统进行测试验证，并对验证结果进行专家评审通过的基础上提出</w:t>
      </w:r>
      <w:r>
        <w:rPr>
          <w:rFonts w:hint="eastAsia"/>
          <w:bCs/>
          <w:szCs w:val="21"/>
        </w:rPr>
        <w:t>并立项</w:t>
      </w:r>
      <w:r w:rsidRPr="00991A0F">
        <w:rPr>
          <w:rFonts w:hint="eastAsia"/>
          <w:bCs/>
          <w:szCs w:val="21"/>
        </w:rPr>
        <w:t>。</w:t>
      </w:r>
      <w:r w:rsidR="005648E0" w:rsidRPr="009C6A05">
        <w:rPr>
          <w:rFonts w:hint="eastAsia"/>
          <w:bCs/>
          <w:szCs w:val="21"/>
        </w:rPr>
        <w:t>根据</w:t>
      </w:r>
      <w:r w:rsidR="005648E0" w:rsidRPr="009C6A05">
        <w:rPr>
          <w:rFonts w:hint="eastAsia"/>
          <w:bCs/>
          <w:szCs w:val="21"/>
        </w:rPr>
        <w:t>2014</w:t>
      </w:r>
      <w:r w:rsidR="005648E0" w:rsidRPr="009C6A05">
        <w:rPr>
          <w:rFonts w:hint="eastAsia"/>
          <w:bCs/>
          <w:szCs w:val="21"/>
        </w:rPr>
        <w:t>年粮油行业标准制定计划</w:t>
      </w:r>
      <w:r w:rsidR="005648E0" w:rsidRPr="009C6A05">
        <w:rPr>
          <w:bCs/>
          <w:szCs w:val="21"/>
        </w:rPr>
        <w:t>的要求</w:t>
      </w:r>
      <w:r w:rsidR="005648E0" w:rsidRPr="009C6A05">
        <w:rPr>
          <w:rFonts w:hint="eastAsia"/>
          <w:bCs/>
          <w:szCs w:val="21"/>
        </w:rPr>
        <w:t>，</w:t>
      </w:r>
      <w:r w:rsidR="00E051B1" w:rsidRPr="009C6A05">
        <w:rPr>
          <w:rFonts w:hint="eastAsia"/>
          <w:bCs/>
          <w:szCs w:val="21"/>
        </w:rPr>
        <w:t>由</w:t>
      </w:r>
      <w:r w:rsidR="005648E0" w:rsidRPr="009C6A05">
        <w:rPr>
          <w:rFonts w:hint="eastAsia"/>
          <w:bCs/>
          <w:szCs w:val="21"/>
        </w:rPr>
        <w:t>北京市粮油食品检测所</w:t>
      </w:r>
      <w:r w:rsidR="00CC1E0F" w:rsidRPr="009C6A05">
        <w:rPr>
          <w:rFonts w:hint="eastAsia"/>
          <w:bCs/>
          <w:szCs w:val="21"/>
        </w:rPr>
        <w:t>牵头</w:t>
      </w:r>
      <w:r w:rsidR="00E051B1" w:rsidRPr="009C6A05">
        <w:rPr>
          <w:rFonts w:hint="eastAsia"/>
          <w:bCs/>
          <w:szCs w:val="21"/>
        </w:rPr>
        <w:t>负责《</w:t>
      </w:r>
      <w:r w:rsidR="00E051B1" w:rsidRPr="009C6A05">
        <w:rPr>
          <w:rFonts w:hint="eastAsia"/>
          <w:b/>
        </w:rPr>
        <w:t>粮油检测</w:t>
      </w:r>
      <w:r w:rsidR="000E711A">
        <w:rPr>
          <w:rFonts w:hint="eastAsia"/>
          <w:b/>
        </w:rPr>
        <w:t>粮食中脱氧雪腐镰刀菌烯醇</w:t>
      </w:r>
      <w:r w:rsidR="00E051B1" w:rsidRPr="009C6A05">
        <w:rPr>
          <w:rFonts w:hint="eastAsia"/>
          <w:b/>
        </w:rPr>
        <w:t>测定胶体金</w:t>
      </w:r>
      <w:r w:rsidR="000E711A">
        <w:rPr>
          <w:rFonts w:hint="eastAsia"/>
          <w:b/>
        </w:rPr>
        <w:t>快速定量</w:t>
      </w:r>
      <w:r w:rsidR="00E051B1" w:rsidRPr="009C6A05">
        <w:rPr>
          <w:rFonts w:hint="eastAsia"/>
          <w:b/>
        </w:rPr>
        <w:t>法</w:t>
      </w:r>
      <w:r w:rsidR="00E051B1" w:rsidRPr="009C6A05">
        <w:rPr>
          <w:rFonts w:hint="eastAsia"/>
          <w:bCs/>
          <w:szCs w:val="21"/>
        </w:rPr>
        <w:t>》起草工作。</w:t>
      </w:r>
      <w:r w:rsidR="005648E0" w:rsidRPr="009C6A05">
        <w:rPr>
          <w:rFonts w:hint="eastAsia"/>
          <w:bCs/>
          <w:szCs w:val="21"/>
          <w:lang w:val="en-GB"/>
        </w:rPr>
        <w:t>起草单位成立的标准起草组负责进行本标准的各项工作</w:t>
      </w:r>
      <w:r w:rsidR="005648E0" w:rsidRPr="009C6A05">
        <w:rPr>
          <w:rFonts w:hint="eastAsia"/>
          <w:bCs/>
          <w:szCs w:val="21"/>
        </w:rPr>
        <w:t>。</w:t>
      </w:r>
    </w:p>
    <w:p w:rsidR="009006E2" w:rsidRPr="000C59B5" w:rsidRDefault="009006E2" w:rsidP="009006E2">
      <w:pPr>
        <w:spacing w:line="360" w:lineRule="auto"/>
        <w:rPr>
          <w:rFonts w:eastAsia="楷体_GB2312"/>
          <w:b/>
          <w:bCs/>
          <w:sz w:val="24"/>
          <w:lang w:val="en-GB"/>
        </w:rPr>
      </w:pPr>
      <w:r w:rsidRPr="000C59B5">
        <w:rPr>
          <w:rFonts w:eastAsia="楷体_GB2312"/>
          <w:b/>
          <w:bCs/>
          <w:sz w:val="24"/>
          <w:lang w:val="en-GB"/>
        </w:rPr>
        <w:t>1.2</w:t>
      </w:r>
      <w:r w:rsidRPr="000C59B5">
        <w:rPr>
          <w:rFonts w:eastAsia="楷体_GB2312"/>
          <w:b/>
          <w:bCs/>
          <w:sz w:val="24"/>
          <w:lang w:val="en-GB"/>
        </w:rPr>
        <w:t>标准</w:t>
      </w:r>
      <w:r w:rsidRPr="000C59B5">
        <w:rPr>
          <w:rFonts w:eastAsia="楷体_GB2312" w:hint="eastAsia"/>
          <w:b/>
          <w:bCs/>
          <w:sz w:val="24"/>
          <w:lang w:val="en-GB"/>
        </w:rPr>
        <w:t>研制</w:t>
      </w:r>
      <w:r w:rsidRPr="000C59B5">
        <w:rPr>
          <w:rFonts w:eastAsia="楷体_GB2312"/>
          <w:b/>
          <w:bCs/>
          <w:sz w:val="24"/>
          <w:lang w:val="en-GB"/>
        </w:rPr>
        <w:t>主要工作过程</w:t>
      </w:r>
    </w:p>
    <w:p w:rsidR="009006E2" w:rsidRPr="005648E0" w:rsidRDefault="009006E2" w:rsidP="00991A0F">
      <w:pPr>
        <w:spacing w:line="360" w:lineRule="auto"/>
        <w:ind w:firstLineChars="200" w:firstLine="420"/>
        <w:rPr>
          <w:bCs/>
          <w:szCs w:val="21"/>
        </w:rPr>
      </w:pPr>
      <w:r w:rsidRPr="000C59B5">
        <w:rPr>
          <w:bCs/>
          <w:szCs w:val="21"/>
        </w:rPr>
        <w:t>（</w:t>
      </w:r>
      <w:r w:rsidRPr="000C59B5">
        <w:rPr>
          <w:bCs/>
          <w:szCs w:val="21"/>
        </w:rPr>
        <w:t>1</w:t>
      </w:r>
      <w:r w:rsidRPr="000C59B5">
        <w:rPr>
          <w:bCs/>
          <w:szCs w:val="21"/>
        </w:rPr>
        <w:t>）</w:t>
      </w:r>
      <w:r w:rsidRPr="000C59B5">
        <w:rPr>
          <w:rFonts w:hint="eastAsia"/>
          <w:bCs/>
          <w:szCs w:val="21"/>
        </w:rPr>
        <w:t>根据该标准的特点，</w:t>
      </w:r>
      <w:r w:rsidRPr="000C59B5">
        <w:rPr>
          <w:rFonts w:hint="eastAsia"/>
          <w:bCs/>
          <w:szCs w:val="21"/>
        </w:rPr>
        <w:t>201</w:t>
      </w:r>
      <w:r w:rsidR="005648E0">
        <w:rPr>
          <w:rFonts w:hint="eastAsia"/>
          <w:bCs/>
          <w:szCs w:val="21"/>
        </w:rPr>
        <w:t>4</w:t>
      </w:r>
      <w:r w:rsidRPr="000C59B5">
        <w:rPr>
          <w:rFonts w:hint="eastAsia"/>
          <w:bCs/>
          <w:szCs w:val="21"/>
        </w:rPr>
        <w:t>年</w:t>
      </w:r>
      <w:r w:rsidRPr="000C59B5">
        <w:rPr>
          <w:rFonts w:hint="eastAsia"/>
          <w:bCs/>
          <w:szCs w:val="21"/>
        </w:rPr>
        <w:t>5</w:t>
      </w:r>
      <w:r w:rsidRPr="000C59B5">
        <w:rPr>
          <w:rFonts w:hint="eastAsia"/>
          <w:bCs/>
          <w:szCs w:val="21"/>
        </w:rPr>
        <w:t>月，</w:t>
      </w:r>
      <w:r w:rsidRPr="000C59B5">
        <w:rPr>
          <w:bCs/>
          <w:szCs w:val="21"/>
        </w:rPr>
        <w:t>查询了国内外资料，</w:t>
      </w:r>
      <w:r w:rsidRPr="000C59B5">
        <w:rPr>
          <w:rFonts w:hint="eastAsia"/>
          <w:bCs/>
          <w:szCs w:val="21"/>
        </w:rPr>
        <w:t>对相关检测机构、粮库、粮食加</w:t>
      </w:r>
      <w:r w:rsidRPr="000C59B5">
        <w:rPr>
          <w:rFonts w:hint="eastAsia"/>
          <w:bCs/>
          <w:szCs w:val="21"/>
        </w:rPr>
        <w:lastRenderedPageBreak/>
        <w:t>工企业进行了调研，并</w:t>
      </w:r>
      <w:r w:rsidR="00E078A5">
        <w:rPr>
          <w:rFonts w:hint="eastAsia"/>
          <w:bCs/>
          <w:szCs w:val="21"/>
        </w:rPr>
        <w:t>在湖北省武汉市</w:t>
      </w:r>
      <w:r w:rsidRPr="000C59B5">
        <w:rPr>
          <w:rFonts w:hint="eastAsia"/>
          <w:bCs/>
          <w:szCs w:val="21"/>
        </w:rPr>
        <w:t>召开了第一次</w:t>
      </w:r>
      <w:r w:rsidR="009C6A05">
        <w:rPr>
          <w:rFonts w:hint="eastAsia"/>
          <w:bCs/>
          <w:szCs w:val="21"/>
        </w:rPr>
        <w:t>专家研讨</w:t>
      </w:r>
      <w:r w:rsidRPr="000C59B5">
        <w:rPr>
          <w:rFonts w:hint="eastAsia"/>
          <w:bCs/>
          <w:szCs w:val="21"/>
        </w:rPr>
        <w:t>会，</w:t>
      </w:r>
      <w:r w:rsidR="009C6A05">
        <w:rPr>
          <w:rFonts w:hint="eastAsia"/>
          <w:bCs/>
          <w:szCs w:val="21"/>
        </w:rPr>
        <w:t>与会专家针对</w:t>
      </w:r>
      <w:r w:rsidR="005648E0" w:rsidRPr="005648E0">
        <w:rPr>
          <w:rFonts w:hint="eastAsia"/>
          <w:bCs/>
          <w:szCs w:val="21"/>
        </w:rPr>
        <w:t>标准</w:t>
      </w:r>
      <w:r w:rsidR="009C6A05">
        <w:rPr>
          <w:rFonts w:hint="eastAsia"/>
          <w:bCs/>
          <w:szCs w:val="21"/>
        </w:rPr>
        <w:t>文本草案</w:t>
      </w:r>
      <w:r w:rsidR="005648E0" w:rsidRPr="005648E0">
        <w:rPr>
          <w:rFonts w:hint="eastAsia"/>
          <w:bCs/>
          <w:szCs w:val="21"/>
        </w:rPr>
        <w:t>和</w:t>
      </w:r>
      <w:r w:rsidR="009C6A05">
        <w:rPr>
          <w:rFonts w:hint="eastAsia"/>
          <w:bCs/>
          <w:szCs w:val="21"/>
        </w:rPr>
        <w:t>编制说明等提出了修改意见和建议</w:t>
      </w:r>
      <w:r w:rsidR="005648E0" w:rsidRPr="005648E0">
        <w:rPr>
          <w:rFonts w:hint="eastAsia"/>
          <w:bCs/>
          <w:szCs w:val="21"/>
        </w:rPr>
        <w:t>。</w:t>
      </w:r>
    </w:p>
    <w:p w:rsidR="008D448F" w:rsidRDefault="00BE210C" w:rsidP="008D448F">
      <w:pPr>
        <w:spacing w:line="360" w:lineRule="auto"/>
        <w:ind w:firstLineChars="200" w:firstLine="420"/>
        <w:rPr>
          <w:bCs/>
          <w:szCs w:val="21"/>
        </w:rPr>
      </w:pPr>
      <w:r w:rsidRPr="000C59B5">
        <w:rPr>
          <w:rFonts w:hint="eastAsia"/>
          <w:bCs/>
          <w:szCs w:val="21"/>
        </w:rPr>
        <w:t>（</w:t>
      </w:r>
      <w:r w:rsidR="00CC1E0F">
        <w:rPr>
          <w:rFonts w:hint="eastAsia"/>
          <w:bCs/>
          <w:szCs w:val="21"/>
        </w:rPr>
        <w:t>2</w:t>
      </w:r>
      <w:r w:rsidRPr="000C59B5">
        <w:rPr>
          <w:rFonts w:hint="eastAsia"/>
          <w:bCs/>
          <w:szCs w:val="21"/>
        </w:rPr>
        <w:t>）</w:t>
      </w:r>
      <w:r w:rsidR="009006E2" w:rsidRPr="000C59B5">
        <w:rPr>
          <w:rFonts w:hint="eastAsia"/>
          <w:bCs/>
          <w:szCs w:val="21"/>
        </w:rPr>
        <w:t>201</w:t>
      </w:r>
      <w:r w:rsidR="00E078A5">
        <w:rPr>
          <w:rFonts w:hint="eastAsia"/>
          <w:bCs/>
          <w:szCs w:val="21"/>
        </w:rPr>
        <w:t>4</w:t>
      </w:r>
      <w:r w:rsidR="009006E2" w:rsidRPr="000C59B5">
        <w:rPr>
          <w:rFonts w:hint="eastAsia"/>
          <w:bCs/>
          <w:szCs w:val="21"/>
        </w:rPr>
        <w:t>年</w:t>
      </w:r>
      <w:r w:rsidR="00E078A5">
        <w:rPr>
          <w:rFonts w:hint="eastAsia"/>
          <w:bCs/>
          <w:szCs w:val="21"/>
        </w:rPr>
        <w:t>7</w:t>
      </w:r>
      <w:r w:rsidR="009006E2" w:rsidRPr="000C59B5">
        <w:rPr>
          <w:rFonts w:hint="eastAsia"/>
          <w:bCs/>
          <w:szCs w:val="21"/>
        </w:rPr>
        <w:t>月</w:t>
      </w:r>
      <w:r>
        <w:rPr>
          <w:rFonts w:hint="eastAsia"/>
          <w:bCs/>
          <w:szCs w:val="21"/>
        </w:rPr>
        <w:t>，编写了</w:t>
      </w:r>
      <w:r w:rsidRPr="00BE210C">
        <w:rPr>
          <w:rFonts w:hint="eastAsia"/>
          <w:bCs/>
          <w:szCs w:val="21"/>
        </w:rPr>
        <w:t>《</w:t>
      </w:r>
      <w:r w:rsidRPr="00BE210C">
        <w:rPr>
          <w:rFonts w:hint="eastAsia"/>
          <w:b/>
        </w:rPr>
        <w:t>粮油检测</w:t>
      </w:r>
      <w:r w:rsidR="000E711A">
        <w:rPr>
          <w:rFonts w:hint="eastAsia"/>
          <w:b/>
        </w:rPr>
        <w:t>粮食中脱氧雪腐镰刀菌烯醇</w:t>
      </w:r>
      <w:r w:rsidRPr="00BE210C">
        <w:rPr>
          <w:rFonts w:hint="eastAsia"/>
          <w:b/>
        </w:rPr>
        <w:t>测定胶体金</w:t>
      </w:r>
      <w:r w:rsidR="000E711A">
        <w:rPr>
          <w:rFonts w:hint="eastAsia"/>
          <w:b/>
        </w:rPr>
        <w:t>快速定量</w:t>
      </w:r>
      <w:r w:rsidRPr="00BE210C">
        <w:rPr>
          <w:rFonts w:hint="eastAsia"/>
          <w:b/>
        </w:rPr>
        <w:t>法</w:t>
      </w:r>
      <w:r w:rsidRPr="00BE210C">
        <w:rPr>
          <w:rFonts w:hint="eastAsia"/>
          <w:bCs/>
          <w:szCs w:val="21"/>
        </w:rPr>
        <w:t>》</w:t>
      </w:r>
      <w:r>
        <w:rPr>
          <w:rFonts w:hint="eastAsia"/>
          <w:bCs/>
          <w:szCs w:val="21"/>
        </w:rPr>
        <w:t>，并在</w:t>
      </w:r>
      <w:r w:rsidR="00E078A5" w:rsidRPr="00E078A5">
        <w:rPr>
          <w:rFonts w:hint="eastAsia"/>
          <w:bCs/>
          <w:szCs w:val="21"/>
        </w:rPr>
        <w:t>山西太原召开</w:t>
      </w:r>
      <w:r w:rsidR="00E078A5">
        <w:rPr>
          <w:rFonts w:hint="eastAsia"/>
          <w:bCs/>
          <w:szCs w:val="21"/>
        </w:rPr>
        <w:t>了第二次</w:t>
      </w:r>
      <w:r w:rsidR="009C6A05">
        <w:rPr>
          <w:rFonts w:hint="eastAsia"/>
          <w:bCs/>
          <w:szCs w:val="21"/>
        </w:rPr>
        <w:t>起草小组</w:t>
      </w:r>
      <w:r w:rsidR="00E078A5">
        <w:rPr>
          <w:rFonts w:hint="eastAsia"/>
          <w:bCs/>
          <w:szCs w:val="21"/>
        </w:rPr>
        <w:t>讨论会，</w:t>
      </w:r>
      <w:r w:rsidR="008D448F" w:rsidRPr="008D448F">
        <w:rPr>
          <w:rFonts w:hint="eastAsia"/>
          <w:bCs/>
          <w:szCs w:val="21"/>
        </w:rPr>
        <w:t>标准起草单位对所拟标准草案和编制说明作编写介绍</w:t>
      </w:r>
      <w:r w:rsidR="008059C1">
        <w:rPr>
          <w:rFonts w:hint="eastAsia"/>
          <w:bCs/>
          <w:szCs w:val="21"/>
        </w:rPr>
        <w:t>，并对其说明进行了详细审校和充分讨论。</w:t>
      </w:r>
    </w:p>
    <w:p w:rsidR="009006E2" w:rsidRPr="000C59B5" w:rsidRDefault="009006E2" w:rsidP="009006E2">
      <w:pPr>
        <w:spacing w:line="360" w:lineRule="auto"/>
        <w:ind w:firstLineChars="200" w:firstLine="420"/>
        <w:rPr>
          <w:bCs/>
          <w:szCs w:val="21"/>
        </w:rPr>
      </w:pPr>
      <w:r w:rsidRPr="000C59B5">
        <w:rPr>
          <w:rFonts w:hint="eastAsia"/>
          <w:bCs/>
          <w:szCs w:val="21"/>
        </w:rPr>
        <w:t>（</w:t>
      </w:r>
      <w:r w:rsidR="00CC1E0F">
        <w:rPr>
          <w:rFonts w:hint="eastAsia"/>
          <w:bCs/>
          <w:szCs w:val="21"/>
        </w:rPr>
        <w:t>3</w:t>
      </w:r>
      <w:r w:rsidRPr="000C59B5">
        <w:rPr>
          <w:rFonts w:hint="eastAsia"/>
          <w:bCs/>
          <w:szCs w:val="21"/>
        </w:rPr>
        <w:t>）</w:t>
      </w:r>
      <w:r w:rsidR="00BE210C" w:rsidRPr="009C6A05">
        <w:rPr>
          <w:rFonts w:hint="eastAsia"/>
          <w:bCs/>
          <w:szCs w:val="21"/>
        </w:rPr>
        <w:t>2014</w:t>
      </w:r>
      <w:r w:rsidRPr="009C6A05">
        <w:rPr>
          <w:rFonts w:hint="eastAsia"/>
          <w:bCs/>
          <w:szCs w:val="21"/>
        </w:rPr>
        <w:t>年</w:t>
      </w:r>
      <w:r w:rsidR="009C6A05">
        <w:rPr>
          <w:rFonts w:hint="eastAsia"/>
          <w:bCs/>
          <w:szCs w:val="21"/>
        </w:rPr>
        <w:t>7</w:t>
      </w:r>
      <w:r w:rsidRPr="009C6A05">
        <w:rPr>
          <w:rFonts w:hint="eastAsia"/>
          <w:bCs/>
          <w:szCs w:val="21"/>
        </w:rPr>
        <w:t>月</w:t>
      </w:r>
      <w:r w:rsidR="009C6A05">
        <w:rPr>
          <w:rFonts w:hint="eastAsia"/>
          <w:bCs/>
          <w:szCs w:val="21"/>
        </w:rPr>
        <w:t>底</w:t>
      </w:r>
      <w:r w:rsidRPr="009C6A05">
        <w:rPr>
          <w:rFonts w:hint="eastAsia"/>
          <w:bCs/>
          <w:szCs w:val="21"/>
        </w:rPr>
        <w:t>，</w:t>
      </w:r>
      <w:r w:rsidR="009C6A05">
        <w:rPr>
          <w:rFonts w:hint="eastAsia"/>
          <w:bCs/>
          <w:szCs w:val="21"/>
        </w:rPr>
        <w:t>采用</w:t>
      </w:r>
      <w:r w:rsidRPr="009C6A05">
        <w:rPr>
          <w:rFonts w:hint="eastAsia"/>
          <w:bCs/>
          <w:szCs w:val="21"/>
        </w:rPr>
        <w:t>不同厂家的</w:t>
      </w:r>
      <w:r w:rsidR="00BE210C" w:rsidRPr="009C6A05">
        <w:rPr>
          <w:rFonts w:hint="eastAsia"/>
          <w:bCs/>
          <w:szCs w:val="21"/>
        </w:rPr>
        <w:t>胶体金</w:t>
      </w:r>
      <w:r w:rsidR="009C6A05">
        <w:rPr>
          <w:rFonts w:hint="eastAsia"/>
          <w:bCs/>
          <w:szCs w:val="21"/>
        </w:rPr>
        <w:t>定量方法</w:t>
      </w:r>
      <w:r w:rsidRPr="009C6A05">
        <w:rPr>
          <w:rFonts w:hint="eastAsia"/>
          <w:bCs/>
          <w:szCs w:val="21"/>
        </w:rPr>
        <w:t>上进行验证</w:t>
      </w:r>
      <w:r w:rsidRPr="000C59B5">
        <w:rPr>
          <w:rFonts w:hint="eastAsia"/>
          <w:bCs/>
          <w:szCs w:val="21"/>
        </w:rPr>
        <w:t>。</w:t>
      </w:r>
    </w:p>
    <w:p w:rsidR="009006E2" w:rsidRPr="000C59B5" w:rsidRDefault="009006E2" w:rsidP="009006E2">
      <w:pPr>
        <w:spacing w:line="360" w:lineRule="auto"/>
        <w:ind w:firstLineChars="200" w:firstLine="420"/>
        <w:rPr>
          <w:bCs/>
          <w:szCs w:val="21"/>
        </w:rPr>
      </w:pPr>
      <w:r w:rsidRPr="000C59B5">
        <w:rPr>
          <w:rFonts w:hint="eastAsia"/>
          <w:bCs/>
          <w:szCs w:val="21"/>
        </w:rPr>
        <w:t>（</w:t>
      </w:r>
      <w:r w:rsidR="009C6A05">
        <w:rPr>
          <w:rFonts w:hint="eastAsia"/>
          <w:bCs/>
          <w:szCs w:val="21"/>
        </w:rPr>
        <w:t>4</w:t>
      </w:r>
      <w:r w:rsidRPr="000C59B5">
        <w:rPr>
          <w:rFonts w:hint="eastAsia"/>
          <w:bCs/>
          <w:szCs w:val="21"/>
        </w:rPr>
        <w:t>）</w:t>
      </w:r>
      <w:r w:rsidR="00BE210C" w:rsidRPr="009C6A05">
        <w:rPr>
          <w:rFonts w:hint="eastAsia"/>
          <w:bCs/>
          <w:szCs w:val="21"/>
        </w:rPr>
        <w:t>2014</w:t>
      </w:r>
      <w:r w:rsidRPr="009C6A05">
        <w:rPr>
          <w:rFonts w:hint="eastAsia"/>
          <w:bCs/>
          <w:szCs w:val="21"/>
        </w:rPr>
        <w:t>年</w:t>
      </w:r>
      <w:r w:rsidR="009C6A05">
        <w:rPr>
          <w:rFonts w:hint="eastAsia"/>
          <w:bCs/>
          <w:szCs w:val="21"/>
        </w:rPr>
        <w:t>8</w:t>
      </w:r>
      <w:r w:rsidRPr="009C6A05">
        <w:rPr>
          <w:rFonts w:hint="eastAsia"/>
          <w:bCs/>
          <w:szCs w:val="21"/>
        </w:rPr>
        <w:t>月，</w:t>
      </w:r>
      <w:r w:rsidR="009C6A05">
        <w:rPr>
          <w:rFonts w:hint="eastAsia"/>
          <w:bCs/>
          <w:szCs w:val="21"/>
        </w:rPr>
        <w:t>形成</w:t>
      </w:r>
      <w:r w:rsidRPr="009C6A05">
        <w:rPr>
          <w:rFonts w:hint="eastAsia"/>
          <w:bCs/>
          <w:szCs w:val="21"/>
        </w:rPr>
        <w:t>标</w:t>
      </w:r>
      <w:r w:rsidRPr="000C59B5">
        <w:rPr>
          <w:rFonts w:hint="eastAsia"/>
          <w:bCs/>
          <w:szCs w:val="21"/>
        </w:rPr>
        <w:t>准的</w:t>
      </w:r>
      <w:r w:rsidR="009C6A05">
        <w:rPr>
          <w:rFonts w:hint="eastAsia"/>
          <w:bCs/>
          <w:szCs w:val="21"/>
        </w:rPr>
        <w:t>送审讨论稿</w:t>
      </w:r>
      <w:r w:rsidRPr="000C59B5">
        <w:rPr>
          <w:rFonts w:hint="eastAsia"/>
          <w:bCs/>
          <w:szCs w:val="21"/>
        </w:rPr>
        <w:t>。</w:t>
      </w:r>
    </w:p>
    <w:p w:rsidR="009006E2" w:rsidRPr="000C59B5" w:rsidRDefault="009006E2" w:rsidP="009006E2">
      <w:pPr>
        <w:spacing w:line="360" w:lineRule="auto"/>
        <w:rPr>
          <w:rFonts w:eastAsia="楷体_GB2312"/>
          <w:b/>
          <w:bCs/>
          <w:sz w:val="24"/>
          <w:lang w:val="en-GB"/>
        </w:rPr>
      </w:pPr>
      <w:r w:rsidRPr="000C59B5">
        <w:rPr>
          <w:rFonts w:eastAsia="楷体_GB2312" w:hint="eastAsia"/>
          <w:b/>
          <w:bCs/>
          <w:sz w:val="24"/>
          <w:lang w:val="en-GB"/>
        </w:rPr>
        <w:t>2</w:t>
      </w:r>
      <w:r w:rsidRPr="000C59B5">
        <w:rPr>
          <w:rFonts w:eastAsia="楷体_GB2312"/>
          <w:b/>
          <w:bCs/>
          <w:sz w:val="24"/>
          <w:lang w:val="en-GB"/>
        </w:rPr>
        <w:t>标准的编制原则和标准的主要内容</w:t>
      </w:r>
    </w:p>
    <w:p w:rsidR="009006E2" w:rsidRPr="000C59B5" w:rsidRDefault="009006E2" w:rsidP="009006E2">
      <w:pPr>
        <w:spacing w:line="360" w:lineRule="auto"/>
        <w:rPr>
          <w:rFonts w:eastAsia="楷体_GB2312"/>
          <w:b/>
          <w:bCs/>
          <w:sz w:val="24"/>
          <w:lang w:val="en-GB"/>
        </w:rPr>
      </w:pPr>
      <w:r w:rsidRPr="000C59B5">
        <w:rPr>
          <w:rFonts w:eastAsia="楷体_GB2312" w:hint="eastAsia"/>
          <w:b/>
          <w:bCs/>
          <w:sz w:val="24"/>
          <w:lang w:val="en-GB"/>
        </w:rPr>
        <w:t>2.1</w:t>
      </w:r>
      <w:r w:rsidRPr="000C59B5">
        <w:rPr>
          <w:rFonts w:eastAsia="楷体_GB2312"/>
          <w:b/>
          <w:bCs/>
          <w:sz w:val="24"/>
          <w:lang w:val="en-GB"/>
        </w:rPr>
        <w:t>标准编制原则</w:t>
      </w:r>
    </w:p>
    <w:p w:rsidR="009006E2" w:rsidRPr="000C59B5" w:rsidRDefault="009006E2" w:rsidP="009006E2">
      <w:pPr>
        <w:spacing w:line="360" w:lineRule="auto"/>
        <w:ind w:firstLineChars="200" w:firstLine="420"/>
        <w:rPr>
          <w:rFonts w:ascii="仿宋_GB2312" w:eastAsia="仿宋_GB2312"/>
          <w:szCs w:val="21"/>
        </w:rPr>
      </w:pPr>
      <w:r w:rsidRPr="000C59B5">
        <w:rPr>
          <w:rFonts w:hint="eastAsia"/>
          <w:bCs/>
          <w:szCs w:val="21"/>
        </w:rPr>
        <w:t>本标准是根据</w:t>
      </w:r>
      <w:r w:rsidRPr="000C59B5">
        <w:rPr>
          <w:bCs/>
          <w:szCs w:val="21"/>
        </w:rPr>
        <w:t>GB</w:t>
      </w:r>
      <w:r w:rsidRPr="000C59B5">
        <w:rPr>
          <w:rFonts w:hint="eastAsia"/>
          <w:bCs/>
          <w:szCs w:val="21"/>
        </w:rPr>
        <w:t>/</w:t>
      </w:r>
      <w:r w:rsidRPr="000C59B5">
        <w:rPr>
          <w:bCs/>
          <w:szCs w:val="21"/>
        </w:rPr>
        <w:t>T1.1-200</w:t>
      </w:r>
      <w:r w:rsidRPr="000C59B5">
        <w:rPr>
          <w:rFonts w:hint="eastAsia"/>
          <w:bCs/>
          <w:szCs w:val="21"/>
        </w:rPr>
        <w:t>9</w:t>
      </w:r>
      <w:r w:rsidRPr="000C59B5">
        <w:rPr>
          <w:rFonts w:hint="eastAsia"/>
          <w:bCs/>
          <w:szCs w:val="21"/>
        </w:rPr>
        <w:t>《标准化工作导则第</w:t>
      </w:r>
      <w:r w:rsidRPr="000C59B5">
        <w:rPr>
          <w:rFonts w:hint="eastAsia"/>
          <w:bCs/>
          <w:szCs w:val="21"/>
        </w:rPr>
        <w:t>1</w:t>
      </w:r>
      <w:r w:rsidRPr="000C59B5">
        <w:rPr>
          <w:rFonts w:hint="eastAsia"/>
          <w:bCs/>
          <w:szCs w:val="21"/>
        </w:rPr>
        <w:t>部分：标准的结构与编写规则》、</w:t>
      </w:r>
      <w:r w:rsidRPr="000C59B5">
        <w:rPr>
          <w:bCs/>
          <w:szCs w:val="21"/>
        </w:rPr>
        <w:t>GB</w:t>
      </w:r>
      <w:r w:rsidRPr="000C59B5">
        <w:rPr>
          <w:rFonts w:hint="eastAsia"/>
          <w:bCs/>
          <w:szCs w:val="21"/>
        </w:rPr>
        <w:t>/</w:t>
      </w:r>
      <w:r w:rsidRPr="000C59B5">
        <w:rPr>
          <w:bCs/>
          <w:szCs w:val="21"/>
        </w:rPr>
        <w:t>T20001.4-200</w:t>
      </w:r>
      <w:r w:rsidRPr="000C59B5">
        <w:rPr>
          <w:rFonts w:hint="eastAsia"/>
          <w:bCs/>
          <w:szCs w:val="21"/>
        </w:rPr>
        <w:t>9</w:t>
      </w:r>
      <w:r w:rsidRPr="000C59B5">
        <w:rPr>
          <w:rFonts w:hint="eastAsia"/>
          <w:bCs/>
          <w:szCs w:val="21"/>
        </w:rPr>
        <w:t>《标准编写规则第</w:t>
      </w:r>
      <w:r w:rsidRPr="000C59B5">
        <w:rPr>
          <w:rFonts w:hint="eastAsia"/>
          <w:bCs/>
          <w:szCs w:val="21"/>
        </w:rPr>
        <w:t>4</w:t>
      </w:r>
      <w:r w:rsidRPr="000C59B5">
        <w:rPr>
          <w:rFonts w:hint="eastAsia"/>
          <w:bCs/>
          <w:szCs w:val="21"/>
        </w:rPr>
        <w:t>部分：化学分析方法》的规定进行编制的。</w:t>
      </w:r>
    </w:p>
    <w:p w:rsidR="009006E2" w:rsidRDefault="009006E2" w:rsidP="009006E2">
      <w:pPr>
        <w:spacing w:line="360" w:lineRule="auto"/>
        <w:rPr>
          <w:rFonts w:eastAsia="楷体_GB2312"/>
          <w:b/>
          <w:bCs/>
          <w:sz w:val="24"/>
          <w:lang w:val="en-GB"/>
        </w:rPr>
      </w:pPr>
      <w:r w:rsidRPr="000C59B5">
        <w:rPr>
          <w:rFonts w:eastAsia="楷体_GB2312" w:hint="eastAsia"/>
          <w:b/>
          <w:bCs/>
          <w:sz w:val="24"/>
          <w:lang w:val="en-GB"/>
        </w:rPr>
        <w:t>2.2</w:t>
      </w:r>
      <w:r w:rsidRPr="000C59B5">
        <w:rPr>
          <w:rFonts w:eastAsia="楷体_GB2312"/>
          <w:b/>
          <w:bCs/>
          <w:sz w:val="24"/>
          <w:lang w:val="en-GB"/>
        </w:rPr>
        <w:t>确定标准主要内容</w:t>
      </w:r>
    </w:p>
    <w:p w:rsidR="00991A0F" w:rsidRPr="00991A0F" w:rsidRDefault="00991A0F" w:rsidP="00991A0F">
      <w:pPr>
        <w:spacing w:line="360" w:lineRule="auto"/>
        <w:ind w:firstLineChars="200" w:firstLine="420"/>
        <w:rPr>
          <w:bCs/>
          <w:szCs w:val="21"/>
        </w:rPr>
      </w:pPr>
      <w:r w:rsidRPr="00991A0F">
        <w:rPr>
          <w:rFonts w:hint="eastAsia"/>
          <w:bCs/>
          <w:szCs w:val="21"/>
        </w:rPr>
        <w:t>鉴于目前能够形成商业化胶体金快速定量技术，且经过国家粮食局标准质量中心组织通过验证测试的</w:t>
      </w:r>
      <w:r w:rsidR="007B18FE">
        <w:rPr>
          <w:rFonts w:hint="eastAsia"/>
          <w:bCs/>
          <w:szCs w:val="21"/>
        </w:rPr>
        <w:t>产品</w:t>
      </w:r>
      <w:r w:rsidRPr="00991A0F">
        <w:rPr>
          <w:rFonts w:hint="eastAsia"/>
          <w:bCs/>
          <w:szCs w:val="21"/>
        </w:rPr>
        <w:t>只有北京博欧实德生物技术有限公司</w:t>
      </w:r>
      <w:r w:rsidR="007B18FE">
        <w:rPr>
          <w:rFonts w:hint="eastAsia"/>
          <w:bCs/>
          <w:szCs w:val="21"/>
        </w:rPr>
        <w:t>代理的美国</w:t>
      </w:r>
      <w:r w:rsidR="007B18FE" w:rsidRPr="00991A0F">
        <w:rPr>
          <w:rFonts w:hint="eastAsia"/>
          <w:bCs/>
          <w:szCs w:val="21"/>
        </w:rPr>
        <w:t>Charm</w:t>
      </w:r>
      <w:r w:rsidR="007B18FE">
        <w:rPr>
          <w:rFonts w:hint="eastAsia"/>
          <w:bCs/>
          <w:szCs w:val="21"/>
        </w:rPr>
        <w:t>公司生产的</w:t>
      </w:r>
      <w:r w:rsidR="007B18FE" w:rsidRPr="00991A0F">
        <w:rPr>
          <w:rFonts w:hint="eastAsia"/>
          <w:bCs/>
          <w:szCs w:val="21"/>
        </w:rPr>
        <w:t>ROSA</w:t>
      </w:r>
      <w:r w:rsidR="007B18FE">
        <w:rPr>
          <w:rFonts w:hint="eastAsia"/>
          <w:bCs/>
          <w:szCs w:val="21"/>
        </w:rPr>
        <w:t>胶体金快速定量检测卡</w:t>
      </w:r>
      <w:r w:rsidRPr="00991A0F">
        <w:rPr>
          <w:rFonts w:hint="eastAsia"/>
          <w:bCs/>
          <w:szCs w:val="21"/>
        </w:rPr>
        <w:t>，因此本标准的具体操作方法</w:t>
      </w:r>
      <w:r>
        <w:rPr>
          <w:rFonts w:hint="eastAsia"/>
          <w:bCs/>
          <w:szCs w:val="21"/>
        </w:rPr>
        <w:t>参照</w:t>
      </w:r>
      <w:r w:rsidRPr="00991A0F">
        <w:rPr>
          <w:rFonts w:hint="eastAsia"/>
          <w:bCs/>
          <w:szCs w:val="21"/>
        </w:rPr>
        <w:t>该</w:t>
      </w:r>
      <w:r w:rsidRPr="00991A0F">
        <w:rPr>
          <w:rFonts w:hint="eastAsia"/>
          <w:bCs/>
          <w:szCs w:val="21"/>
        </w:rPr>
        <w:t>Charm ROSA</w:t>
      </w:r>
      <w:r w:rsidRPr="00991A0F">
        <w:rPr>
          <w:rFonts w:hint="eastAsia"/>
          <w:bCs/>
          <w:szCs w:val="21"/>
        </w:rPr>
        <w:t>真菌毒素快速检测仪的具体操作方法作为模版，</w:t>
      </w:r>
      <w:r>
        <w:rPr>
          <w:rFonts w:hint="eastAsia"/>
          <w:bCs/>
          <w:szCs w:val="21"/>
        </w:rPr>
        <w:t>按照</w:t>
      </w:r>
      <w:r w:rsidRPr="00991A0F">
        <w:rPr>
          <w:rFonts w:hint="eastAsia"/>
          <w:bCs/>
          <w:szCs w:val="21"/>
        </w:rPr>
        <w:t>国际标准的惯例，标注“</w:t>
      </w:r>
      <w:r>
        <w:rPr>
          <w:rFonts w:hint="eastAsia"/>
          <w:bCs/>
          <w:szCs w:val="21"/>
        </w:rPr>
        <w:t>美国</w:t>
      </w:r>
      <w:r w:rsidRPr="00991A0F">
        <w:rPr>
          <w:rFonts w:hint="eastAsia"/>
          <w:bCs/>
          <w:szCs w:val="21"/>
        </w:rPr>
        <w:t>Charm</w:t>
      </w:r>
      <w:r>
        <w:rPr>
          <w:rFonts w:hint="eastAsia"/>
          <w:bCs/>
          <w:szCs w:val="21"/>
        </w:rPr>
        <w:t>公司生产的</w:t>
      </w:r>
      <w:r w:rsidRPr="00991A0F">
        <w:rPr>
          <w:rFonts w:hint="eastAsia"/>
          <w:bCs/>
          <w:szCs w:val="21"/>
        </w:rPr>
        <w:t>ROSA</w:t>
      </w:r>
      <w:r>
        <w:rPr>
          <w:rFonts w:hint="eastAsia"/>
          <w:bCs/>
          <w:szCs w:val="21"/>
        </w:rPr>
        <w:t>胶体金快速定量检测卡室通过粮食行业验证的产品</w:t>
      </w:r>
      <w:r w:rsidRPr="00991A0F">
        <w:rPr>
          <w:rFonts w:hint="eastAsia"/>
          <w:bCs/>
          <w:szCs w:val="21"/>
        </w:rPr>
        <w:t>，</w:t>
      </w:r>
      <w:r>
        <w:rPr>
          <w:rFonts w:hint="eastAsia"/>
          <w:bCs/>
          <w:szCs w:val="21"/>
        </w:rPr>
        <w:t>提供此信息仅为了方便本标准的使用者，</w:t>
      </w:r>
      <w:r w:rsidRPr="00991A0F">
        <w:rPr>
          <w:rFonts w:hint="eastAsia"/>
          <w:bCs/>
          <w:szCs w:val="21"/>
        </w:rPr>
        <w:t>而并不是对</w:t>
      </w:r>
      <w:r w:rsidRPr="00991A0F">
        <w:rPr>
          <w:rFonts w:hint="eastAsia"/>
          <w:bCs/>
          <w:szCs w:val="21"/>
        </w:rPr>
        <w:t>ROSA</w:t>
      </w:r>
      <w:r w:rsidRPr="00991A0F">
        <w:rPr>
          <w:rFonts w:hint="eastAsia"/>
          <w:bCs/>
          <w:szCs w:val="21"/>
        </w:rPr>
        <w:t>真菌毒素快速定量</w:t>
      </w:r>
      <w:r>
        <w:rPr>
          <w:rFonts w:hint="eastAsia"/>
          <w:bCs/>
          <w:szCs w:val="21"/>
        </w:rPr>
        <w:t>检测系统</w:t>
      </w:r>
      <w:r w:rsidRPr="00991A0F">
        <w:rPr>
          <w:rFonts w:hint="eastAsia"/>
          <w:bCs/>
          <w:szCs w:val="21"/>
        </w:rPr>
        <w:t>的认可。任何</w:t>
      </w:r>
      <w:r w:rsidR="007B18FE">
        <w:rPr>
          <w:rFonts w:hint="eastAsia"/>
          <w:bCs/>
          <w:szCs w:val="21"/>
        </w:rPr>
        <w:t>满足附录</w:t>
      </w:r>
      <w:r w:rsidR="007B18FE">
        <w:rPr>
          <w:rFonts w:hint="eastAsia"/>
          <w:bCs/>
          <w:szCs w:val="21"/>
        </w:rPr>
        <w:t>A</w:t>
      </w:r>
      <w:r w:rsidR="007B18FE">
        <w:rPr>
          <w:rFonts w:hint="eastAsia"/>
          <w:bCs/>
          <w:szCs w:val="21"/>
        </w:rPr>
        <w:t>要求</w:t>
      </w:r>
      <w:r w:rsidRPr="00991A0F">
        <w:rPr>
          <w:rFonts w:hint="eastAsia"/>
          <w:bCs/>
          <w:szCs w:val="21"/>
        </w:rPr>
        <w:t>的</w:t>
      </w:r>
      <w:r>
        <w:rPr>
          <w:rFonts w:hint="eastAsia"/>
          <w:bCs/>
          <w:szCs w:val="21"/>
        </w:rPr>
        <w:t>产品均可</w:t>
      </w:r>
      <w:r w:rsidRPr="00991A0F">
        <w:rPr>
          <w:rFonts w:hint="eastAsia"/>
          <w:bCs/>
          <w:szCs w:val="21"/>
        </w:rPr>
        <w:t>使用”的说明，确保对其它厂家胶体金快速定量</w:t>
      </w:r>
      <w:r>
        <w:rPr>
          <w:rFonts w:hint="eastAsia"/>
          <w:bCs/>
          <w:szCs w:val="21"/>
        </w:rPr>
        <w:t>产品</w:t>
      </w:r>
      <w:r w:rsidRPr="00991A0F">
        <w:rPr>
          <w:rFonts w:hint="eastAsia"/>
          <w:bCs/>
          <w:szCs w:val="21"/>
        </w:rPr>
        <w:t>也能同样适用于此标准。</w:t>
      </w:r>
    </w:p>
    <w:p w:rsidR="00991A0F" w:rsidRDefault="009006E2" w:rsidP="009006E2">
      <w:pPr>
        <w:spacing w:line="360" w:lineRule="auto"/>
        <w:rPr>
          <w:rFonts w:eastAsia="楷体_GB2312"/>
          <w:b/>
          <w:bCs/>
          <w:sz w:val="24"/>
          <w:lang w:val="en-GB"/>
        </w:rPr>
      </w:pPr>
      <w:r w:rsidRPr="000C59B5">
        <w:rPr>
          <w:rFonts w:eastAsia="楷体_GB2312" w:hint="eastAsia"/>
          <w:b/>
          <w:bCs/>
          <w:sz w:val="24"/>
          <w:lang w:val="en-GB"/>
        </w:rPr>
        <w:t>2.2.1</w:t>
      </w:r>
      <w:r w:rsidR="00991A0F">
        <w:rPr>
          <w:rFonts w:eastAsia="楷体_GB2312" w:hint="eastAsia"/>
          <w:b/>
          <w:bCs/>
          <w:sz w:val="24"/>
          <w:lang w:val="en-GB"/>
        </w:rPr>
        <w:t>测定原理</w:t>
      </w:r>
    </w:p>
    <w:p w:rsidR="00991A0F" w:rsidRPr="00991A0F" w:rsidRDefault="00991A0F" w:rsidP="00991A0F">
      <w:pPr>
        <w:spacing w:line="360" w:lineRule="auto"/>
        <w:ind w:firstLineChars="200" w:firstLine="420"/>
      </w:pPr>
      <w:r>
        <w:rPr>
          <w:rFonts w:hint="eastAsia"/>
        </w:rPr>
        <w:t>利用免疫层析原理，试样提取液中脱氧雪腐镰刀菌烯醇与测试卡中胶体金微粒发生呈色反应，颜色深浅与试样中脱氧雪腐镰刀菌烯醇含量</w:t>
      </w:r>
      <w:r w:rsidR="00D010F9">
        <w:rPr>
          <w:rFonts w:hint="eastAsia"/>
        </w:rPr>
        <w:t>成</w:t>
      </w:r>
      <w:r w:rsidR="00C811DB">
        <w:rPr>
          <w:rFonts w:hint="eastAsia"/>
        </w:rPr>
        <w:t>正</w:t>
      </w:r>
      <w:r w:rsidR="00D010F9">
        <w:rPr>
          <w:rFonts w:hint="eastAsia"/>
        </w:rPr>
        <w:t>比</w:t>
      </w:r>
      <w:r>
        <w:rPr>
          <w:rFonts w:hint="eastAsia"/>
        </w:rPr>
        <w:t>。反应完成后，用读数仪测定颜色深浅，根据颜色深浅计算出试样中脱氧雪腐镰刀菌烯醇浓度。</w:t>
      </w:r>
    </w:p>
    <w:p w:rsidR="009006E2" w:rsidRPr="000C59B5" w:rsidRDefault="00991A0F" w:rsidP="009006E2">
      <w:pPr>
        <w:spacing w:line="360" w:lineRule="auto"/>
        <w:rPr>
          <w:rFonts w:eastAsia="楷体_GB2312"/>
          <w:b/>
          <w:bCs/>
          <w:sz w:val="24"/>
          <w:lang w:val="en-GB"/>
        </w:rPr>
      </w:pPr>
      <w:r w:rsidRPr="000C59B5">
        <w:rPr>
          <w:rFonts w:eastAsia="楷体_GB2312" w:hint="eastAsia"/>
          <w:b/>
          <w:bCs/>
          <w:sz w:val="24"/>
          <w:lang w:val="en-GB"/>
        </w:rPr>
        <w:t>2.2.2</w:t>
      </w:r>
      <w:r w:rsidR="009006E2" w:rsidRPr="000C59B5">
        <w:rPr>
          <w:rFonts w:eastAsia="楷体_GB2312" w:hint="eastAsia"/>
          <w:b/>
          <w:bCs/>
          <w:sz w:val="24"/>
          <w:lang w:val="en-GB"/>
        </w:rPr>
        <w:t>适用范围</w:t>
      </w:r>
    </w:p>
    <w:p w:rsidR="009006E2" w:rsidRPr="000C59B5" w:rsidRDefault="009006E2" w:rsidP="007D1D99">
      <w:pPr>
        <w:spacing w:line="360" w:lineRule="auto"/>
        <w:ind w:firstLineChars="200" w:firstLine="420"/>
      </w:pPr>
      <w:r w:rsidRPr="000C59B5">
        <w:rPr>
          <w:rFonts w:hint="eastAsia"/>
        </w:rPr>
        <w:t>本标准规定了</w:t>
      </w:r>
      <w:r w:rsidR="00184678">
        <w:rPr>
          <w:rFonts w:hint="eastAsia"/>
        </w:rPr>
        <w:t>胶体金</w:t>
      </w:r>
      <w:r w:rsidRPr="000C59B5">
        <w:rPr>
          <w:rFonts w:hint="eastAsia"/>
        </w:rPr>
        <w:t>法测定谷物及其制品中脱氧雪腐镰刀烯醇的条件和详细分析步骤。</w:t>
      </w:r>
    </w:p>
    <w:p w:rsidR="009A0775" w:rsidRDefault="009A0775" w:rsidP="007D1D99">
      <w:pPr>
        <w:pStyle w:val="p15"/>
        <w:spacing w:line="360" w:lineRule="auto"/>
        <w:ind w:firstLineChars="200"/>
      </w:pPr>
      <w:r>
        <w:rPr>
          <w:rFonts w:hint="eastAsia"/>
        </w:rPr>
        <w:t>本方法适用于小麦和玉米等</w:t>
      </w:r>
      <w:r w:rsidR="007B18FE">
        <w:rPr>
          <w:rFonts w:hint="eastAsia"/>
        </w:rPr>
        <w:t>粮食</w:t>
      </w:r>
      <w:r>
        <w:rPr>
          <w:rFonts w:hint="eastAsia"/>
        </w:rPr>
        <w:t>中脱氧雪腐镰刀菌烯醇快速定量筛查的测定，</w:t>
      </w:r>
      <w:r w:rsidRPr="00C305BD">
        <w:rPr>
          <w:rFonts w:hint="eastAsia"/>
        </w:rPr>
        <w:t>检测限为</w:t>
      </w:r>
      <w:r w:rsidR="009C6A05" w:rsidRPr="009C6A05">
        <w:rPr>
          <w:rFonts w:ascii="Times New Roman" w:hAnsi="Times New Roman" w:cs="Times New Roman" w:hint="eastAsia"/>
        </w:rPr>
        <w:t>120</w:t>
      </w:r>
      <w:r w:rsidRPr="00C305BD">
        <w:rPr>
          <w:rFonts w:hint="eastAsia"/>
        </w:rPr>
        <w:t>μg/kg。</w:t>
      </w:r>
    </w:p>
    <w:p w:rsidR="00991A0F" w:rsidRDefault="00991A0F" w:rsidP="00991A0F">
      <w:pPr>
        <w:pStyle w:val="p15"/>
        <w:spacing w:line="360" w:lineRule="auto"/>
        <w:ind w:firstLine="0"/>
        <w:rPr>
          <w:rFonts w:eastAsia="楷体_GB2312"/>
          <w:b/>
          <w:bCs/>
          <w:sz w:val="24"/>
          <w:lang w:val="en-GB"/>
        </w:rPr>
      </w:pPr>
      <w:r w:rsidRPr="000E711A">
        <w:rPr>
          <w:rFonts w:ascii="Times New Roman" w:eastAsia="楷体_GB2312" w:hAnsi="Times New Roman" w:cs="Times New Roman" w:hint="eastAsia"/>
          <w:b/>
          <w:bCs/>
          <w:kern w:val="2"/>
          <w:sz w:val="24"/>
          <w:szCs w:val="24"/>
          <w:lang w:val="en-GB"/>
        </w:rPr>
        <w:t>2.2.3</w:t>
      </w:r>
      <w:r>
        <w:rPr>
          <w:rFonts w:eastAsia="楷体_GB2312" w:hint="eastAsia"/>
          <w:b/>
          <w:bCs/>
          <w:sz w:val="24"/>
          <w:lang w:val="en-GB"/>
        </w:rPr>
        <w:t>关于样品制备的要求</w:t>
      </w:r>
    </w:p>
    <w:p w:rsidR="00D010F9" w:rsidRPr="00D010F9" w:rsidRDefault="000E711A" w:rsidP="00D010F9">
      <w:pPr>
        <w:spacing w:line="360" w:lineRule="auto"/>
        <w:ind w:firstLineChars="200" w:firstLine="420"/>
        <w:rPr>
          <w:rFonts w:ascii="Arial" w:hAnsi="Arial" w:cs="Arial"/>
          <w:color w:val="000000"/>
          <w:szCs w:val="21"/>
          <w:shd w:val="clear" w:color="auto" w:fill="FFFFFF"/>
        </w:rPr>
      </w:pPr>
      <w:r>
        <w:rPr>
          <w:rFonts w:ascii="Arial" w:hAnsi="Arial" w:cs="Arial"/>
          <w:color w:val="000000"/>
          <w:szCs w:val="21"/>
          <w:shd w:val="clear" w:color="auto" w:fill="FFFFFF"/>
        </w:rPr>
        <w:t>理论上讲</w:t>
      </w:r>
      <w:r w:rsidR="00C811DB">
        <w:rPr>
          <w:rFonts w:ascii="Arial" w:hAnsi="Arial" w:cs="Arial" w:hint="eastAsia"/>
          <w:color w:val="000000"/>
          <w:szCs w:val="21"/>
          <w:shd w:val="clear" w:color="auto" w:fill="FFFFFF"/>
        </w:rPr>
        <w:t>，</w:t>
      </w:r>
      <w:r>
        <w:rPr>
          <w:rFonts w:ascii="Arial" w:hAnsi="Arial" w:cs="Arial"/>
          <w:color w:val="000000"/>
          <w:szCs w:val="21"/>
          <w:shd w:val="clear" w:color="auto" w:fill="FFFFFF"/>
        </w:rPr>
        <w:t>样品颗粒的大小与样品的</w:t>
      </w:r>
      <w:r>
        <w:rPr>
          <w:rFonts w:ascii="Arial" w:hAnsi="Arial" w:cs="Arial" w:hint="eastAsia"/>
          <w:color w:val="000000"/>
          <w:szCs w:val="21"/>
          <w:shd w:val="clear" w:color="auto" w:fill="FFFFFF"/>
        </w:rPr>
        <w:t>均匀</w:t>
      </w:r>
      <w:r>
        <w:rPr>
          <w:rFonts w:ascii="Arial" w:hAnsi="Arial" w:cs="Arial"/>
          <w:color w:val="000000"/>
          <w:szCs w:val="21"/>
          <w:shd w:val="clear" w:color="auto" w:fill="FFFFFF"/>
        </w:rPr>
        <w:t>性以及毒素的提取</w:t>
      </w:r>
      <w:r>
        <w:rPr>
          <w:rFonts w:ascii="Arial" w:hAnsi="Arial" w:cs="Arial" w:hint="eastAsia"/>
          <w:color w:val="000000"/>
          <w:szCs w:val="21"/>
          <w:shd w:val="clear" w:color="auto" w:fill="FFFFFF"/>
        </w:rPr>
        <w:t>效率</w:t>
      </w:r>
      <w:r>
        <w:rPr>
          <w:rFonts w:ascii="Arial" w:hAnsi="Arial" w:cs="Arial"/>
          <w:color w:val="000000"/>
          <w:szCs w:val="21"/>
          <w:shd w:val="clear" w:color="auto" w:fill="FFFFFF"/>
        </w:rPr>
        <w:t>有关</w:t>
      </w:r>
      <w:r>
        <w:rPr>
          <w:rFonts w:ascii="Arial" w:hAnsi="Arial" w:cs="Arial" w:hint="eastAsia"/>
          <w:color w:val="000000"/>
          <w:szCs w:val="21"/>
          <w:shd w:val="clear" w:color="auto" w:fill="FFFFFF"/>
        </w:rPr>
        <w:t>，</w:t>
      </w:r>
      <w:r>
        <w:rPr>
          <w:rFonts w:ascii="Arial" w:hAnsi="Arial" w:cs="Arial"/>
          <w:color w:val="000000"/>
          <w:szCs w:val="21"/>
          <w:shd w:val="clear" w:color="auto" w:fill="FFFFFF"/>
        </w:rPr>
        <w:t>当样品</w:t>
      </w:r>
      <w:r>
        <w:rPr>
          <w:rFonts w:ascii="Arial" w:hAnsi="Arial" w:cs="Arial" w:hint="eastAsia"/>
          <w:color w:val="000000"/>
          <w:szCs w:val="21"/>
          <w:shd w:val="clear" w:color="auto" w:fill="FFFFFF"/>
        </w:rPr>
        <w:t>细度不足</w:t>
      </w:r>
      <w:r>
        <w:rPr>
          <w:rFonts w:ascii="Arial" w:hAnsi="Arial" w:cs="Arial"/>
          <w:color w:val="000000"/>
          <w:szCs w:val="21"/>
          <w:shd w:val="clear" w:color="auto" w:fill="FFFFFF"/>
        </w:rPr>
        <w:t>20</w:t>
      </w:r>
      <w:r>
        <w:rPr>
          <w:rFonts w:ascii="Arial" w:hAnsi="Arial" w:cs="Arial"/>
          <w:color w:val="000000"/>
          <w:szCs w:val="21"/>
          <w:shd w:val="clear" w:color="auto" w:fill="FFFFFF"/>
        </w:rPr>
        <w:t>目时，</w:t>
      </w:r>
      <w:r>
        <w:rPr>
          <w:rFonts w:ascii="Arial" w:hAnsi="Arial" w:cs="Arial" w:hint="eastAsia"/>
          <w:color w:val="000000"/>
          <w:szCs w:val="21"/>
          <w:shd w:val="clear" w:color="auto" w:fill="FFFFFF"/>
        </w:rPr>
        <w:t>真菌</w:t>
      </w:r>
      <w:r>
        <w:rPr>
          <w:rFonts w:ascii="Arial" w:hAnsi="Arial" w:cs="Arial"/>
          <w:color w:val="000000"/>
          <w:szCs w:val="21"/>
          <w:shd w:val="clear" w:color="auto" w:fill="FFFFFF"/>
        </w:rPr>
        <w:t>毒素的提取效率较低</w:t>
      </w:r>
      <w:r>
        <w:rPr>
          <w:rFonts w:ascii="Arial" w:hAnsi="Arial" w:cs="Arial" w:hint="eastAsia"/>
          <w:color w:val="000000"/>
          <w:szCs w:val="21"/>
          <w:shd w:val="clear" w:color="auto" w:fill="FFFFFF"/>
        </w:rPr>
        <w:t>，因此国家标准方法中真菌毒素检测的制样一般都要求制备至少</w:t>
      </w:r>
      <w:r>
        <w:rPr>
          <w:rFonts w:ascii="Arial" w:hAnsi="Arial" w:cs="Arial" w:hint="eastAsia"/>
          <w:color w:val="000000"/>
          <w:szCs w:val="21"/>
          <w:shd w:val="clear" w:color="auto" w:fill="FFFFFF"/>
        </w:rPr>
        <w:t>500g</w:t>
      </w:r>
      <w:r>
        <w:rPr>
          <w:rFonts w:ascii="Arial" w:hAnsi="Arial" w:cs="Arial" w:hint="eastAsia"/>
          <w:color w:val="000000"/>
          <w:szCs w:val="21"/>
          <w:shd w:val="clear" w:color="auto" w:fill="FFFFFF"/>
        </w:rPr>
        <w:t>，全</w:t>
      </w:r>
      <w:r>
        <w:rPr>
          <w:rFonts w:ascii="Arial" w:hAnsi="Arial" w:cs="Arial" w:hint="eastAsia"/>
          <w:color w:val="000000"/>
          <w:szCs w:val="21"/>
          <w:shd w:val="clear" w:color="auto" w:fill="FFFFFF"/>
        </w:rPr>
        <w:lastRenderedPageBreak/>
        <w:t>部通过</w:t>
      </w:r>
      <w:r>
        <w:rPr>
          <w:rFonts w:ascii="Arial" w:hAnsi="Arial" w:cs="Arial" w:hint="eastAsia"/>
          <w:color w:val="000000"/>
          <w:szCs w:val="21"/>
          <w:shd w:val="clear" w:color="auto" w:fill="FFFFFF"/>
        </w:rPr>
        <w:t>20</w:t>
      </w:r>
      <w:r>
        <w:rPr>
          <w:rFonts w:ascii="Arial" w:hAnsi="Arial" w:cs="Arial" w:hint="eastAsia"/>
          <w:color w:val="000000"/>
          <w:szCs w:val="21"/>
          <w:shd w:val="clear" w:color="auto" w:fill="FFFFFF"/>
        </w:rPr>
        <w:t>目筛，本行业标准直接采用，从应用数据（见表）看，能够满足方法需求。</w:t>
      </w:r>
    </w:p>
    <w:p w:rsidR="009006E2" w:rsidRPr="000C59B5" w:rsidRDefault="00E8380B" w:rsidP="009006E2">
      <w:pPr>
        <w:spacing w:line="360" w:lineRule="auto"/>
        <w:rPr>
          <w:rFonts w:eastAsia="楷体_GB2312"/>
          <w:b/>
          <w:bCs/>
          <w:sz w:val="24"/>
          <w:lang w:val="en-GB"/>
        </w:rPr>
      </w:pPr>
      <w:r>
        <w:rPr>
          <w:rFonts w:eastAsia="楷体_GB2312" w:hint="eastAsia"/>
          <w:b/>
          <w:bCs/>
          <w:sz w:val="24"/>
          <w:lang w:val="en-GB"/>
        </w:rPr>
        <w:t>2.2.</w:t>
      </w:r>
      <w:r w:rsidR="009006E2" w:rsidRPr="000C59B5">
        <w:rPr>
          <w:rFonts w:eastAsia="楷体_GB2312" w:hint="eastAsia"/>
          <w:b/>
          <w:bCs/>
          <w:sz w:val="24"/>
          <w:lang w:val="en-GB"/>
        </w:rPr>
        <w:t>.4</w:t>
      </w:r>
      <w:r w:rsidR="00B434C6">
        <w:rPr>
          <w:rFonts w:eastAsia="楷体_GB2312" w:hint="eastAsia"/>
          <w:b/>
          <w:bCs/>
          <w:sz w:val="24"/>
          <w:lang w:val="en-GB"/>
        </w:rPr>
        <w:t>方法</w:t>
      </w:r>
      <w:r w:rsidR="009006E2" w:rsidRPr="000C59B5">
        <w:rPr>
          <w:rFonts w:eastAsia="楷体_GB2312" w:hint="eastAsia"/>
          <w:b/>
          <w:bCs/>
          <w:sz w:val="24"/>
          <w:lang w:val="en-GB"/>
        </w:rPr>
        <w:t>线性范围与检出限</w:t>
      </w:r>
    </w:p>
    <w:p w:rsidR="0023344A" w:rsidRDefault="0023344A" w:rsidP="0023344A">
      <w:pPr>
        <w:pStyle w:val="p15"/>
        <w:spacing w:line="360" w:lineRule="auto"/>
        <w:ind w:firstLineChars="200"/>
      </w:pPr>
      <w:r w:rsidRPr="0023344A">
        <w:rPr>
          <w:rFonts w:hint="eastAsia"/>
        </w:rPr>
        <w:t xml:space="preserve">以高效液相色谱法检测结果为横坐标， </w:t>
      </w:r>
      <w:r w:rsidR="00E8380B">
        <w:rPr>
          <w:rFonts w:hint="eastAsia"/>
        </w:rPr>
        <w:t>胶体金</w:t>
      </w:r>
      <w:r w:rsidRPr="0023344A">
        <w:rPr>
          <w:rFonts w:hint="eastAsia"/>
        </w:rPr>
        <w:t>快速</w:t>
      </w:r>
      <w:r w:rsidR="00E8380B">
        <w:rPr>
          <w:rFonts w:hint="eastAsia"/>
        </w:rPr>
        <w:t>检测卡</w:t>
      </w:r>
      <w:r w:rsidRPr="0023344A">
        <w:rPr>
          <w:rFonts w:hint="eastAsia"/>
        </w:rPr>
        <w:t>法的检测结果为纵坐标，计算小麦的线性范围：500～5000ppb（5点）， 回归方程: y=1.04x-119；相关系数r为0.9992；玉米的线性范围：500～5000ppb（5点）， 回归方程: y=1.16x-5.49；相关系数r为0.9987（见图</w:t>
      </w:r>
      <w:r w:rsidR="00A657FF">
        <w:rPr>
          <w:rFonts w:hint="eastAsia"/>
        </w:rPr>
        <w:t>1</w:t>
      </w:r>
      <w:r w:rsidRPr="0023344A">
        <w:rPr>
          <w:rFonts w:hint="eastAsia"/>
        </w:rPr>
        <w:t>和图</w:t>
      </w:r>
      <w:r w:rsidR="00A657FF">
        <w:rPr>
          <w:rFonts w:hint="eastAsia"/>
        </w:rPr>
        <w:t>2</w:t>
      </w:r>
      <w:r w:rsidRPr="0023344A">
        <w:rPr>
          <w:rFonts w:hint="eastAsia"/>
        </w:rPr>
        <w:t>）。</w:t>
      </w:r>
    </w:p>
    <w:p w:rsidR="00A657FF" w:rsidRPr="00A657FF" w:rsidRDefault="00A657FF" w:rsidP="00A657FF">
      <w:pPr>
        <w:pStyle w:val="p15"/>
        <w:spacing w:line="360" w:lineRule="auto"/>
        <w:ind w:firstLineChars="200"/>
        <w:jc w:val="center"/>
      </w:pPr>
      <w:r>
        <w:rPr>
          <w:noProof/>
        </w:rPr>
        <w:drawing>
          <wp:inline distT="0" distB="0" distL="0" distR="0">
            <wp:extent cx="4267200" cy="2971800"/>
            <wp:effectExtent l="0" t="0" r="0" b="0"/>
            <wp:docPr id="12" name="图表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657FF" w:rsidRPr="00A657FF" w:rsidRDefault="00A657FF" w:rsidP="00A657FF">
      <w:pPr>
        <w:pStyle w:val="p15"/>
        <w:spacing w:line="360" w:lineRule="auto"/>
        <w:ind w:firstLineChars="200"/>
        <w:jc w:val="center"/>
      </w:pPr>
      <w:r w:rsidRPr="00A657FF">
        <w:rPr>
          <w:rFonts w:hint="eastAsia"/>
          <w:bCs/>
        </w:rPr>
        <w:t>图1 小麦呕吐毒素HPLC和</w:t>
      </w:r>
      <w:r w:rsidR="00E8380B">
        <w:rPr>
          <w:rFonts w:hint="eastAsia"/>
          <w:bCs/>
        </w:rPr>
        <w:t>胶体金（ROSA）</w:t>
      </w:r>
      <w:r w:rsidRPr="00A657FF">
        <w:rPr>
          <w:rFonts w:hint="eastAsia"/>
          <w:bCs/>
        </w:rPr>
        <w:t>两种方法检测值线性关系</w:t>
      </w:r>
    </w:p>
    <w:p w:rsidR="00A657FF" w:rsidRDefault="00A657FF" w:rsidP="00A657FF">
      <w:pPr>
        <w:pStyle w:val="p15"/>
        <w:spacing w:line="360" w:lineRule="auto"/>
        <w:ind w:firstLineChars="200"/>
      </w:pPr>
    </w:p>
    <w:p w:rsidR="00A657FF" w:rsidRDefault="00A657FF" w:rsidP="00A657FF">
      <w:pPr>
        <w:pStyle w:val="p15"/>
        <w:spacing w:line="360" w:lineRule="auto"/>
        <w:ind w:firstLineChars="200"/>
        <w:jc w:val="center"/>
      </w:pPr>
      <w:r>
        <w:rPr>
          <w:noProof/>
        </w:rPr>
        <w:drawing>
          <wp:inline distT="0" distB="0" distL="0" distR="0">
            <wp:extent cx="4457700" cy="2914650"/>
            <wp:effectExtent l="0" t="0" r="0" b="0"/>
            <wp:docPr id="15" name="图表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657FF" w:rsidRPr="00A657FF" w:rsidRDefault="00A657FF" w:rsidP="00A657FF">
      <w:pPr>
        <w:pStyle w:val="p15"/>
        <w:spacing w:line="360" w:lineRule="auto"/>
        <w:ind w:firstLineChars="200"/>
        <w:jc w:val="center"/>
      </w:pPr>
      <w:r w:rsidRPr="00A657FF">
        <w:rPr>
          <w:rFonts w:hint="eastAsia"/>
          <w:bCs/>
        </w:rPr>
        <w:t>图2 玉米呕吐毒素HPLC和</w:t>
      </w:r>
      <w:r w:rsidR="00E8380B">
        <w:rPr>
          <w:rFonts w:hint="eastAsia"/>
          <w:bCs/>
        </w:rPr>
        <w:t>胶体金（ROSA）</w:t>
      </w:r>
      <w:r w:rsidRPr="00A657FF">
        <w:rPr>
          <w:rFonts w:hint="eastAsia"/>
          <w:bCs/>
        </w:rPr>
        <w:t>两种方法检测值线性关系</w:t>
      </w:r>
    </w:p>
    <w:p w:rsidR="00A657FF" w:rsidRPr="0023344A" w:rsidRDefault="00A657FF" w:rsidP="00A657FF">
      <w:pPr>
        <w:pStyle w:val="p15"/>
        <w:spacing w:line="360" w:lineRule="auto"/>
        <w:ind w:firstLineChars="200"/>
      </w:pPr>
      <w:r w:rsidRPr="0023344A">
        <w:rPr>
          <w:rFonts w:hint="eastAsia"/>
        </w:rPr>
        <w:lastRenderedPageBreak/>
        <w:t>取24个无污染（阴性）样品的测定结果进行计算，检测限（LOD）为测定平均值加3倍标准偏差，定量限(LOQ)为测定平均值加10倍标准偏差。测试结果表明</w:t>
      </w:r>
      <w:r w:rsidR="00980D4D">
        <w:rPr>
          <w:rFonts w:hint="eastAsia"/>
        </w:rPr>
        <w:t>，</w:t>
      </w:r>
      <w:r w:rsidRPr="0023344A">
        <w:rPr>
          <w:rFonts w:hint="eastAsia"/>
        </w:rPr>
        <w:t>DON的LOD为118ppb，LOQ为316ppb（见表</w:t>
      </w:r>
      <w:r>
        <w:rPr>
          <w:rFonts w:hint="eastAsia"/>
        </w:rPr>
        <w:t>1</w:t>
      </w:r>
      <w:r w:rsidRPr="0023344A">
        <w:rPr>
          <w:rFonts w:hint="eastAsia"/>
        </w:rPr>
        <w:t>）</w:t>
      </w:r>
      <w:r w:rsidR="000E711A">
        <w:rPr>
          <w:rFonts w:hint="eastAsia"/>
        </w:rPr>
        <w:t>，因此，本标准规定检出限为120</w:t>
      </w:r>
      <w:r w:rsidR="000E711A" w:rsidRPr="00C305BD">
        <w:rPr>
          <w:rFonts w:hint="eastAsia"/>
        </w:rPr>
        <w:t>μg/kg</w:t>
      </w:r>
      <w:r w:rsidRPr="0023344A">
        <w:rPr>
          <w:rFonts w:hint="eastAsia"/>
        </w:rPr>
        <w:t>。</w:t>
      </w:r>
    </w:p>
    <w:p w:rsidR="00980D4D" w:rsidRPr="000E711A" w:rsidRDefault="00980D4D" w:rsidP="00A657FF">
      <w:pPr>
        <w:widowControl/>
        <w:jc w:val="center"/>
        <w:rPr>
          <w:rFonts w:ascii="宋体" w:hAnsi="宋体" w:cs="宋体"/>
          <w:bCs/>
          <w:kern w:val="0"/>
          <w:szCs w:val="21"/>
        </w:rPr>
        <w:sectPr w:rsidR="00980D4D" w:rsidRPr="000E711A">
          <w:footerReference w:type="even" r:id="rId10"/>
          <w:footerReference w:type="default" r:id="rId11"/>
          <w:pgSz w:w="11906" w:h="16838"/>
          <w:pgMar w:top="1440" w:right="1418" w:bottom="1440" w:left="1418" w:header="851" w:footer="992" w:gutter="0"/>
          <w:pgNumType w:start="1"/>
          <w:cols w:space="720"/>
          <w:docGrid w:type="lines" w:linePitch="312"/>
        </w:sectPr>
      </w:pPr>
    </w:p>
    <w:p w:rsidR="00A657FF" w:rsidRPr="00A657FF" w:rsidRDefault="00A657FF" w:rsidP="00A657FF">
      <w:pPr>
        <w:widowControl/>
        <w:jc w:val="center"/>
        <w:rPr>
          <w:rFonts w:cs="宋体"/>
          <w:bCs/>
          <w:kern w:val="0"/>
          <w:szCs w:val="21"/>
        </w:rPr>
      </w:pPr>
      <w:r w:rsidRPr="00A657FF">
        <w:rPr>
          <w:rFonts w:ascii="宋体" w:hAnsi="宋体" w:cs="宋体" w:hint="eastAsia"/>
          <w:bCs/>
          <w:kern w:val="0"/>
          <w:szCs w:val="21"/>
        </w:rPr>
        <w:lastRenderedPageBreak/>
        <w:t xml:space="preserve">表1 </w:t>
      </w:r>
      <w:r w:rsidR="008702B6">
        <w:rPr>
          <w:rFonts w:ascii="宋体" w:hAnsi="宋体" w:cs="宋体" w:hint="eastAsia"/>
          <w:bCs/>
          <w:kern w:val="0"/>
          <w:szCs w:val="21"/>
        </w:rPr>
        <w:t>脱氧雪腐镰刀菌烯醇</w:t>
      </w:r>
      <w:r w:rsidRPr="00A657FF">
        <w:rPr>
          <w:rFonts w:ascii="宋体" w:hAnsi="宋体" w:cs="宋体" w:hint="eastAsia"/>
          <w:bCs/>
          <w:kern w:val="0"/>
          <w:szCs w:val="21"/>
        </w:rPr>
        <w:t>检测数据分析表（含中国样品）</w:t>
      </w:r>
    </w:p>
    <w:p w:rsidR="00A657FF" w:rsidRPr="008702B6" w:rsidRDefault="00A657FF" w:rsidP="00A657FF">
      <w:pPr>
        <w:widowControl/>
        <w:rPr>
          <w:rFonts w:cs="宋体"/>
          <w:bCs/>
          <w:kern w:val="0"/>
          <w:szCs w:val="21"/>
        </w:rPr>
      </w:pPr>
      <w:r w:rsidRPr="008702B6">
        <w:rPr>
          <w:rFonts w:ascii="宋体" w:hAnsi="宋体" w:cs="宋体" w:hint="eastAsia"/>
          <w:bCs/>
          <w:kern w:val="0"/>
          <w:szCs w:val="21"/>
        </w:rPr>
        <w:t>浓度单位：</w:t>
      </w:r>
      <w:r w:rsidRPr="008702B6">
        <w:rPr>
          <w:rFonts w:cs="宋体" w:hint="eastAsia"/>
          <w:bCs/>
          <w:kern w:val="0"/>
          <w:szCs w:val="21"/>
        </w:rPr>
        <w:t>ppb</w:t>
      </w:r>
    </w:p>
    <w:tbl>
      <w:tblPr>
        <w:tblW w:w="0" w:type="auto"/>
        <w:tblLook w:val="0000"/>
      </w:tblPr>
      <w:tblGrid>
        <w:gridCol w:w="522"/>
        <w:gridCol w:w="645"/>
        <w:gridCol w:w="1044"/>
        <w:gridCol w:w="794"/>
        <w:gridCol w:w="673"/>
        <w:gridCol w:w="673"/>
        <w:gridCol w:w="673"/>
        <w:gridCol w:w="673"/>
        <w:gridCol w:w="673"/>
        <w:gridCol w:w="673"/>
        <w:gridCol w:w="673"/>
        <w:gridCol w:w="673"/>
        <w:gridCol w:w="673"/>
        <w:gridCol w:w="673"/>
        <w:gridCol w:w="673"/>
        <w:gridCol w:w="673"/>
        <w:gridCol w:w="733"/>
        <w:gridCol w:w="719"/>
        <w:gridCol w:w="820"/>
        <w:gridCol w:w="821"/>
      </w:tblGrid>
      <w:tr w:rsidR="00981F79" w:rsidRPr="008702B6" w:rsidTr="006B110D">
        <w:trPr>
          <w:trHeight w:val="420"/>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序号</w:t>
            </w:r>
          </w:p>
        </w:tc>
        <w:tc>
          <w:tcPr>
            <w:tcW w:w="0" w:type="auto"/>
            <w:vMerge w:val="restart"/>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样品名称</w:t>
            </w:r>
          </w:p>
        </w:tc>
        <w:tc>
          <w:tcPr>
            <w:tcW w:w="0" w:type="auto"/>
            <w:vMerge w:val="restart"/>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样品来源</w:t>
            </w:r>
          </w:p>
        </w:tc>
        <w:tc>
          <w:tcPr>
            <w:tcW w:w="0" w:type="auto"/>
            <w:vMerge w:val="restart"/>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参考浓度</w:t>
            </w:r>
          </w:p>
        </w:tc>
        <w:tc>
          <w:tcPr>
            <w:tcW w:w="0" w:type="auto"/>
            <w:gridSpan w:val="12"/>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ROSA </w:t>
            </w:r>
            <w:r w:rsidRPr="008702B6">
              <w:rPr>
                <w:rFonts w:hAnsi="宋体" w:cs="宋体" w:hint="eastAsia"/>
                <w:kern w:val="0"/>
                <w:sz w:val="18"/>
                <w:szCs w:val="21"/>
              </w:rPr>
              <w:t>检测结果</w:t>
            </w:r>
          </w:p>
        </w:tc>
        <w:tc>
          <w:tcPr>
            <w:tcW w:w="0" w:type="auto"/>
            <w:vMerge w:val="restart"/>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平均值</w:t>
            </w:r>
          </w:p>
        </w:tc>
        <w:tc>
          <w:tcPr>
            <w:tcW w:w="0" w:type="auto"/>
            <w:vMerge w:val="restart"/>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标准偏差</w:t>
            </w:r>
          </w:p>
        </w:tc>
        <w:tc>
          <w:tcPr>
            <w:tcW w:w="0" w:type="auto"/>
            <w:vMerge w:val="restart"/>
            <w:tcBorders>
              <w:top w:val="single" w:sz="4" w:space="0" w:color="000000"/>
              <w:left w:val="nil"/>
              <w:bottom w:val="single" w:sz="4" w:space="0" w:color="000000"/>
              <w:right w:val="nil"/>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变异系数</w:t>
            </w:r>
            <w:r w:rsidRPr="008702B6">
              <w:rPr>
                <w:rFonts w:cs="宋体" w:hint="eastAsia"/>
                <w:kern w:val="0"/>
                <w:sz w:val="18"/>
                <w:szCs w:val="21"/>
              </w:rPr>
              <w:t>%</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正确度</w:t>
            </w:r>
            <w:r w:rsidRPr="008702B6">
              <w:rPr>
                <w:rFonts w:cs="宋体" w:hint="eastAsia"/>
                <w:kern w:val="0"/>
                <w:sz w:val="18"/>
                <w:szCs w:val="21"/>
              </w:rPr>
              <w:t>%</w:t>
            </w:r>
          </w:p>
        </w:tc>
      </w:tr>
      <w:tr w:rsidR="00981F79" w:rsidRPr="008702B6" w:rsidTr="006B110D">
        <w:trPr>
          <w:trHeight w:val="363"/>
        </w:trPr>
        <w:tc>
          <w:tcPr>
            <w:tcW w:w="0" w:type="auto"/>
            <w:vMerge/>
            <w:tcBorders>
              <w:top w:val="single" w:sz="4" w:space="0" w:color="000000"/>
              <w:left w:val="single" w:sz="4" w:space="0" w:color="000000"/>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gridSpan w:val="2"/>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北京</w:t>
            </w:r>
          </w:p>
        </w:tc>
        <w:tc>
          <w:tcPr>
            <w:tcW w:w="0" w:type="auto"/>
            <w:gridSpan w:val="2"/>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山西</w:t>
            </w:r>
          </w:p>
        </w:tc>
        <w:tc>
          <w:tcPr>
            <w:tcW w:w="0" w:type="auto"/>
            <w:gridSpan w:val="2"/>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河南</w:t>
            </w:r>
          </w:p>
        </w:tc>
        <w:tc>
          <w:tcPr>
            <w:tcW w:w="0" w:type="auto"/>
            <w:gridSpan w:val="2"/>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安徽</w:t>
            </w:r>
          </w:p>
        </w:tc>
        <w:tc>
          <w:tcPr>
            <w:tcW w:w="0" w:type="auto"/>
            <w:gridSpan w:val="2"/>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湖北</w:t>
            </w:r>
          </w:p>
        </w:tc>
        <w:tc>
          <w:tcPr>
            <w:tcW w:w="0" w:type="auto"/>
            <w:gridSpan w:val="2"/>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陕西</w:t>
            </w:r>
          </w:p>
        </w:tc>
        <w:tc>
          <w:tcPr>
            <w:tcW w:w="0" w:type="auto"/>
            <w:vMerge/>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single" w:sz="4" w:space="0" w:color="000000"/>
              <w:left w:val="nil"/>
              <w:bottom w:val="single" w:sz="4" w:space="0" w:color="000000"/>
              <w:right w:val="nil"/>
            </w:tcBorders>
            <w:vAlign w:val="center"/>
          </w:tcPr>
          <w:p w:rsidR="00A657FF" w:rsidRPr="008702B6" w:rsidRDefault="00A657FF" w:rsidP="00CC1E0F">
            <w:pPr>
              <w:widowControl/>
              <w:jc w:val="left"/>
              <w:rPr>
                <w:rFonts w:cs="宋体"/>
                <w:kern w:val="0"/>
                <w:sz w:val="18"/>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w:t>
            </w:r>
          </w:p>
        </w:tc>
        <w:tc>
          <w:tcPr>
            <w:tcW w:w="0" w:type="auto"/>
            <w:vMerge w:val="restart"/>
            <w:tcBorders>
              <w:top w:val="nil"/>
              <w:left w:val="nil"/>
              <w:bottom w:val="nil"/>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小麦</w:t>
            </w:r>
          </w:p>
        </w:tc>
        <w:tc>
          <w:tcPr>
            <w:tcW w:w="0" w:type="auto"/>
            <w:vMerge w:val="restart"/>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CHARM</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ND</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0</w:t>
            </w:r>
          </w:p>
        </w:tc>
        <w:tc>
          <w:tcPr>
            <w:tcW w:w="0" w:type="auto"/>
            <w:vMerge w:val="restart"/>
            <w:tcBorders>
              <w:top w:val="nil"/>
              <w:left w:val="nil"/>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 33 </w:t>
            </w:r>
          </w:p>
        </w:tc>
        <w:tc>
          <w:tcPr>
            <w:tcW w:w="0" w:type="auto"/>
            <w:vMerge w:val="restart"/>
            <w:tcBorders>
              <w:top w:val="nil"/>
              <w:left w:val="nil"/>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28 </w:t>
            </w:r>
          </w:p>
        </w:tc>
        <w:tc>
          <w:tcPr>
            <w:tcW w:w="0" w:type="auto"/>
            <w:vMerge w:val="restart"/>
            <w:tcBorders>
              <w:top w:val="nil"/>
              <w:left w:val="nil"/>
              <w:right w:val="nil"/>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 </w:t>
            </w:r>
          </w:p>
        </w:tc>
        <w:tc>
          <w:tcPr>
            <w:tcW w:w="0" w:type="auto"/>
            <w:vMerge w:val="restart"/>
            <w:tcBorders>
              <w:top w:val="nil"/>
              <w:left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w:t>
            </w:r>
          </w:p>
        </w:tc>
        <w:tc>
          <w:tcPr>
            <w:tcW w:w="0" w:type="auto"/>
            <w:vMerge/>
            <w:tcBorders>
              <w:top w:val="nil"/>
              <w:left w:val="nil"/>
              <w:bottom w:val="nil"/>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bottom w:val="single" w:sz="4" w:space="0" w:color="000000"/>
              <w:right w:val="single" w:sz="4" w:space="0" w:color="000000"/>
            </w:tcBorders>
            <w:vAlign w:val="center"/>
          </w:tcPr>
          <w:p w:rsidR="00A657FF" w:rsidRPr="008702B6" w:rsidRDefault="00A657FF" w:rsidP="00CC1E0F">
            <w:pPr>
              <w:widowControl/>
              <w:jc w:val="left"/>
              <w:rPr>
                <w:kern w:val="0"/>
                <w:sz w:val="18"/>
                <w:szCs w:val="21"/>
              </w:rPr>
            </w:pP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ND</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0</w:t>
            </w:r>
          </w:p>
        </w:tc>
        <w:tc>
          <w:tcPr>
            <w:tcW w:w="0" w:type="auto"/>
            <w:vMerge/>
            <w:tcBorders>
              <w:top w:val="nil"/>
              <w:left w:val="nil"/>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right w:val="single" w:sz="4" w:space="0" w:color="000000"/>
            </w:tcBorders>
            <w:vAlign w:val="center"/>
          </w:tcPr>
          <w:p w:rsidR="00A657FF" w:rsidRPr="008702B6" w:rsidRDefault="00A657FF" w:rsidP="00CC1E0F">
            <w:pPr>
              <w:widowControl/>
              <w:jc w:val="left"/>
              <w:rPr>
                <w:kern w:val="0"/>
                <w:sz w:val="18"/>
                <w:szCs w:val="21"/>
              </w:rPr>
            </w:pPr>
          </w:p>
        </w:tc>
        <w:tc>
          <w:tcPr>
            <w:tcW w:w="0" w:type="auto"/>
            <w:vMerge/>
            <w:tcBorders>
              <w:top w:val="nil"/>
              <w:left w:val="nil"/>
              <w:right w:val="nil"/>
            </w:tcBorders>
            <w:vAlign w:val="center"/>
          </w:tcPr>
          <w:p w:rsidR="00A657FF" w:rsidRPr="008702B6" w:rsidRDefault="00A657FF" w:rsidP="00CC1E0F">
            <w:pPr>
              <w:widowControl/>
              <w:jc w:val="left"/>
              <w:rPr>
                <w:rFonts w:cs="宋体"/>
                <w:kern w:val="0"/>
                <w:sz w:val="18"/>
                <w:szCs w:val="21"/>
              </w:rPr>
            </w:pPr>
          </w:p>
        </w:tc>
        <w:tc>
          <w:tcPr>
            <w:tcW w:w="0" w:type="auto"/>
            <w:vMerge/>
            <w:tcBorders>
              <w:top w:val="nil"/>
              <w:left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w:t>
            </w:r>
          </w:p>
        </w:tc>
        <w:tc>
          <w:tcPr>
            <w:tcW w:w="0" w:type="auto"/>
            <w:vMerge/>
            <w:tcBorders>
              <w:top w:val="nil"/>
              <w:left w:val="nil"/>
              <w:bottom w:val="nil"/>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bottom w:val="single" w:sz="4" w:space="0" w:color="000000"/>
              <w:right w:val="single" w:sz="4" w:space="0" w:color="000000"/>
            </w:tcBorders>
            <w:vAlign w:val="center"/>
          </w:tcPr>
          <w:p w:rsidR="00A657FF" w:rsidRPr="008702B6" w:rsidRDefault="00A657FF" w:rsidP="00CC1E0F">
            <w:pPr>
              <w:widowControl/>
              <w:jc w:val="left"/>
              <w:rPr>
                <w:kern w:val="0"/>
                <w:sz w:val="18"/>
                <w:szCs w:val="21"/>
              </w:rPr>
            </w:pP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520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650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650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600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504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99 </w:t>
            </w:r>
          </w:p>
        </w:tc>
        <w:tc>
          <w:tcPr>
            <w:tcW w:w="0" w:type="auto"/>
            <w:tcBorders>
              <w:top w:val="nil"/>
              <w:left w:val="nil"/>
              <w:bottom w:val="single" w:sz="4" w:space="0" w:color="000000"/>
              <w:right w:val="nil"/>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19.6 </w:t>
            </w:r>
          </w:p>
        </w:tc>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97.0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w:t>
            </w:r>
          </w:p>
        </w:tc>
        <w:tc>
          <w:tcPr>
            <w:tcW w:w="0" w:type="auto"/>
            <w:vMerge/>
            <w:tcBorders>
              <w:top w:val="nil"/>
              <w:left w:val="nil"/>
              <w:bottom w:val="nil"/>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bottom w:val="single" w:sz="4" w:space="0" w:color="000000"/>
              <w:right w:val="single" w:sz="4" w:space="0" w:color="000000"/>
            </w:tcBorders>
            <w:vAlign w:val="center"/>
          </w:tcPr>
          <w:p w:rsidR="00A657FF" w:rsidRPr="008702B6" w:rsidRDefault="00A657FF" w:rsidP="00CC1E0F">
            <w:pPr>
              <w:widowControl/>
              <w:jc w:val="left"/>
              <w:rPr>
                <w:kern w:val="0"/>
                <w:sz w:val="18"/>
                <w:szCs w:val="21"/>
              </w:rPr>
            </w:pP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1020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750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850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800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850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750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750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921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156 </w:t>
            </w:r>
          </w:p>
        </w:tc>
        <w:tc>
          <w:tcPr>
            <w:tcW w:w="0" w:type="auto"/>
            <w:vMerge w:val="restart"/>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14.0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90.3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w:t>
            </w:r>
          </w:p>
        </w:tc>
        <w:tc>
          <w:tcPr>
            <w:tcW w:w="0" w:type="auto"/>
            <w:vMerge/>
            <w:tcBorders>
              <w:top w:val="nil"/>
              <w:left w:val="nil"/>
              <w:bottom w:val="nil"/>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bottom w:val="single" w:sz="4" w:space="0" w:color="000000"/>
              <w:right w:val="single" w:sz="4" w:space="0" w:color="000000"/>
            </w:tcBorders>
            <w:vAlign w:val="center"/>
          </w:tcPr>
          <w:p w:rsidR="00A657FF" w:rsidRPr="008702B6" w:rsidRDefault="00A657FF" w:rsidP="00CC1E0F">
            <w:pPr>
              <w:widowControl/>
              <w:jc w:val="left"/>
              <w:rPr>
                <w:kern w:val="0"/>
                <w:sz w:val="18"/>
                <w:szCs w:val="21"/>
              </w:rPr>
            </w:pP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1020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850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850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954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105 </w:t>
            </w:r>
          </w:p>
        </w:tc>
        <w:tc>
          <w:tcPr>
            <w:tcW w:w="0" w:type="auto"/>
            <w:vMerge/>
            <w:tcBorders>
              <w:top w:val="nil"/>
              <w:left w:val="nil"/>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93.5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6</w:t>
            </w:r>
          </w:p>
        </w:tc>
        <w:tc>
          <w:tcPr>
            <w:tcW w:w="0" w:type="auto"/>
            <w:vMerge/>
            <w:tcBorders>
              <w:top w:val="nil"/>
              <w:left w:val="nil"/>
              <w:bottom w:val="nil"/>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bottom w:val="single" w:sz="4" w:space="0" w:color="000000"/>
              <w:right w:val="single" w:sz="4" w:space="0" w:color="000000"/>
            </w:tcBorders>
            <w:vAlign w:val="center"/>
          </w:tcPr>
          <w:p w:rsidR="00A657FF" w:rsidRPr="008702B6" w:rsidRDefault="00A657FF" w:rsidP="00CC1E0F">
            <w:pPr>
              <w:widowControl/>
              <w:jc w:val="left"/>
              <w:rPr>
                <w:kern w:val="0"/>
                <w:sz w:val="18"/>
                <w:szCs w:val="21"/>
              </w:rPr>
            </w:pP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2020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2700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1500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1600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1800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1700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1600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1500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1800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1867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345 </w:t>
            </w:r>
          </w:p>
        </w:tc>
        <w:tc>
          <w:tcPr>
            <w:tcW w:w="0" w:type="auto"/>
            <w:tcBorders>
              <w:top w:val="nil"/>
              <w:left w:val="nil"/>
              <w:bottom w:val="single" w:sz="4" w:space="0" w:color="000000"/>
              <w:right w:val="nil"/>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18.5 </w:t>
            </w:r>
          </w:p>
        </w:tc>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92.4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7</w:t>
            </w:r>
          </w:p>
        </w:tc>
        <w:tc>
          <w:tcPr>
            <w:tcW w:w="0" w:type="auto"/>
            <w:vMerge/>
            <w:tcBorders>
              <w:top w:val="nil"/>
              <w:left w:val="nil"/>
              <w:bottom w:val="nil"/>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bottom w:val="single" w:sz="4" w:space="0" w:color="000000"/>
              <w:right w:val="single" w:sz="4" w:space="0" w:color="000000"/>
            </w:tcBorders>
            <w:vAlign w:val="center"/>
          </w:tcPr>
          <w:p w:rsidR="00A657FF" w:rsidRPr="008702B6" w:rsidRDefault="00A657FF" w:rsidP="00CC1E0F">
            <w:pPr>
              <w:widowControl/>
              <w:jc w:val="left"/>
              <w:rPr>
                <w:kern w:val="0"/>
                <w:sz w:val="18"/>
                <w:szCs w:val="21"/>
              </w:rPr>
            </w:pP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4850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5500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4900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4900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4400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4967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337 </w:t>
            </w:r>
          </w:p>
        </w:tc>
        <w:tc>
          <w:tcPr>
            <w:tcW w:w="0" w:type="auto"/>
            <w:tcBorders>
              <w:top w:val="nil"/>
              <w:left w:val="nil"/>
              <w:bottom w:val="single" w:sz="4" w:space="0" w:color="000000"/>
              <w:right w:val="nil"/>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6.8 </w:t>
            </w:r>
          </w:p>
        </w:tc>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102.4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8</w:t>
            </w:r>
          </w:p>
        </w:tc>
        <w:tc>
          <w:tcPr>
            <w:tcW w:w="0" w:type="auto"/>
            <w:vMerge w:val="restart"/>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玉米</w:t>
            </w:r>
          </w:p>
        </w:tc>
        <w:tc>
          <w:tcPr>
            <w:tcW w:w="0" w:type="auto"/>
            <w:vMerge w:val="restart"/>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CHARM</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1090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1150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90 </w:t>
            </w:r>
          </w:p>
        </w:tc>
        <w:tc>
          <w:tcPr>
            <w:tcW w:w="0" w:type="auto"/>
            <w:tcBorders>
              <w:top w:val="nil"/>
              <w:left w:val="nil"/>
              <w:bottom w:val="single" w:sz="4" w:space="0" w:color="000000"/>
              <w:right w:val="nil"/>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7.9 </w:t>
            </w:r>
          </w:p>
        </w:tc>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105.5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w:t>
            </w:r>
          </w:p>
        </w:tc>
        <w:tc>
          <w:tcPr>
            <w:tcW w:w="0" w:type="auto"/>
            <w:vMerge/>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4560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5400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5400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5800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5400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5400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4800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5500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5300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5317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248 </w:t>
            </w:r>
          </w:p>
        </w:tc>
        <w:tc>
          <w:tcPr>
            <w:tcW w:w="0" w:type="auto"/>
            <w:tcBorders>
              <w:top w:val="nil"/>
              <w:left w:val="nil"/>
              <w:bottom w:val="single" w:sz="4" w:space="0" w:color="000000"/>
              <w:right w:val="nil"/>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4.7 </w:t>
            </w:r>
          </w:p>
        </w:tc>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116.6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w:t>
            </w:r>
          </w:p>
        </w:tc>
        <w:tc>
          <w:tcPr>
            <w:tcW w:w="0" w:type="auto"/>
            <w:vMerge/>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val="restart"/>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北京</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800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850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1071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114 </w:t>
            </w:r>
          </w:p>
        </w:tc>
        <w:tc>
          <w:tcPr>
            <w:tcW w:w="0" w:type="auto"/>
            <w:tcBorders>
              <w:top w:val="nil"/>
              <w:left w:val="nil"/>
              <w:bottom w:val="single" w:sz="4" w:space="0" w:color="000000"/>
              <w:right w:val="nil"/>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10.6 </w:t>
            </w:r>
          </w:p>
        </w:tc>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133.9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shd w:val="clear" w:color="auto" w:fill="auto"/>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w:t>
            </w:r>
          </w:p>
        </w:tc>
        <w:tc>
          <w:tcPr>
            <w:tcW w:w="0" w:type="auto"/>
            <w:vMerge/>
            <w:tcBorders>
              <w:top w:val="single" w:sz="4" w:space="0" w:color="000000"/>
              <w:left w:val="nil"/>
              <w:bottom w:val="single" w:sz="4" w:space="0" w:color="000000"/>
              <w:right w:val="single" w:sz="4" w:space="0" w:color="000000"/>
            </w:tcBorders>
            <w:shd w:val="clear" w:color="auto" w:fill="auto"/>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bottom w:val="single" w:sz="4" w:space="0" w:color="000000"/>
              <w:right w:val="single" w:sz="4" w:space="0" w:color="000000"/>
            </w:tcBorders>
            <w:shd w:val="clear" w:color="auto" w:fill="auto"/>
            <w:vAlign w:val="center"/>
          </w:tcPr>
          <w:p w:rsidR="00A657FF" w:rsidRPr="008702B6" w:rsidRDefault="00A657FF" w:rsidP="00CC1E0F">
            <w:pPr>
              <w:widowControl/>
              <w:jc w:val="left"/>
              <w:rPr>
                <w:rFonts w:cs="宋体"/>
                <w:kern w:val="0"/>
                <w:sz w:val="18"/>
                <w:szCs w:val="21"/>
              </w:rPr>
            </w:pPr>
          </w:p>
        </w:tc>
        <w:tc>
          <w:tcPr>
            <w:tcW w:w="0" w:type="auto"/>
            <w:tcBorders>
              <w:top w:val="nil"/>
              <w:left w:val="nil"/>
              <w:bottom w:val="single" w:sz="4" w:space="0" w:color="000000"/>
              <w:right w:val="single" w:sz="4" w:space="0" w:color="000000"/>
            </w:tcBorders>
            <w:shd w:val="clear" w:color="auto" w:fill="auto"/>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shd w:val="clear" w:color="auto" w:fill="auto"/>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shd w:val="clear" w:color="auto" w:fill="auto"/>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shd w:val="clear" w:color="auto" w:fill="FFFF00"/>
            <w:vAlign w:val="center"/>
          </w:tcPr>
          <w:p w:rsidR="00A657FF" w:rsidRPr="008702B6" w:rsidRDefault="00A657FF" w:rsidP="00CC1E0F">
            <w:pPr>
              <w:widowControl/>
              <w:jc w:val="center"/>
              <w:rPr>
                <w:rFonts w:cs="宋体"/>
                <w:bCs/>
                <w:color w:val="FF0000"/>
                <w:kern w:val="0"/>
                <w:sz w:val="18"/>
                <w:szCs w:val="21"/>
              </w:rPr>
            </w:pPr>
            <w:r w:rsidRPr="008702B6">
              <w:rPr>
                <w:rFonts w:cs="宋体" w:hint="eastAsia"/>
                <w:bCs/>
                <w:color w:val="FF0000"/>
                <w:kern w:val="0"/>
                <w:sz w:val="18"/>
                <w:szCs w:val="21"/>
              </w:rPr>
              <w:t>2400</w:t>
            </w:r>
          </w:p>
        </w:tc>
        <w:tc>
          <w:tcPr>
            <w:tcW w:w="0" w:type="auto"/>
            <w:tcBorders>
              <w:top w:val="nil"/>
              <w:left w:val="nil"/>
              <w:bottom w:val="single" w:sz="4" w:space="0" w:color="000000"/>
              <w:right w:val="single" w:sz="4" w:space="0" w:color="000000"/>
            </w:tcBorders>
            <w:shd w:val="clear" w:color="auto" w:fill="FFFF00"/>
            <w:vAlign w:val="center"/>
          </w:tcPr>
          <w:p w:rsidR="00A657FF" w:rsidRPr="008702B6" w:rsidRDefault="00A657FF" w:rsidP="00CC1E0F">
            <w:pPr>
              <w:widowControl/>
              <w:jc w:val="center"/>
              <w:rPr>
                <w:rFonts w:cs="宋体"/>
                <w:bCs/>
                <w:color w:val="FF0000"/>
                <w:kern w:val="0"/>
                <w:sz w:val="18"/>
                <w:szCs w:val="21"/>
              </w:rPr>
            </w:pPr>
            <w:r w:rsidRPr="008702B6">
              <w:rPr>
                <w:rFonts w:cs="宋体" w:hint="eastAsia"/>
                <w:bCs/>
                <w:color w:val="FF0000"/>
                <w:kern w:val="0"/>
                <w:sz w:val="18"/>
                <w:szCs w:val="21"/>
              </w:rPr>
              <w:t>1700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1140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127 </w:t>
            </w:r>
          </w:p>
        </w:tc>
        <w:tc>
          <w:tcPr>
            <w:tcW w:w="0" w:type="auto"/>
            <w:tcBorders>
              <w:top w:val="nil"/>
              <w:left w:val="nil"/>
              <w:bottom w:val="single" w:sz="4" w:space="0" w:color="000000"/>
              <w:right w:val="nil"/>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11.1 </w:t>
            </w:r>
          </w:p>
        </w:tc>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114.0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w:t>
            </w:r>
          </w:p>
        </w:tc>
        <w:tc>
          <w:tcPr>
            <w:tcW w:w="0" w:type="auto"/>
            <w:vMerge/>
            <w:tcBorders>
              <w:top w:val="single" w:sz="4" w:space="0" w:color="000000"/>
              <w:left w:val="nil"/>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1400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1700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1800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1400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1400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1367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202 </w:t>
            </w:r>
          </w:p>
        </w:tc>
        <w:tc>
          <w:tcPr>
            <w:tcW w:w="0" w:type="auto"/>
            <w:tcBorders>
              <w:top w:val="nil"/>
              <w:left w:val="nil"/>
              <w:bottom w:val="single" w:sz="4" w:space="0" w:color="000000"/>
              <w:right w:val="nil"/>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14.7 </w:t>
            </w:r>
          </w:p>
        </w:tc>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113.9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13</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大米</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CHARM</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1300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950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1100</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1108 </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kern w:val="0"/>
                <w:sz w:val="18"/>
                <w:szCs w:val="21"/>
              </w:rPr>
            </w:pPr>
            <w:r w:rsidRPr="008702B6">
              <w:rPr>
                <w:kern w:val="0"/>
                <w:sz w:val="18"/>
                <w:szCs w:val="21"/>
              </w:rPr>
              <w:t xml:space="preserve">114 </w:t>
            </w:r>
          </w:p>
        </w:tc>
        <w:tc>
          <w:tcPr>
            <w:tcW w:w="0" w:type="auto"/>
            <w:tcBorders>
              <w:top w:val="nil"/>
              <w:left w:val="nil"/>
              <w:bottom w:val="single" w:sz="4" w:space="0" w:color="000000"/>
              <w:right w:val="nil"/>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10.3 </w:t>
            </w:r>
          </w:p>
        </w:tc>
        <w:tc>
          <w:tcPr>
            <w:tcW w:w="0" w:type="auto"/>
            <w:tcBorders>
              <w:top w:val="nil"/>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110.8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shd w:val="clear" w:color="auto" w:fill="auto"/>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14</w:t>
            </w:r>
          </w:p>
        </w:tc>
        <w:tc>
          <w:tcPr>
            <w:tcW w:w="0" w:type="auto"/>
            <w:vMerge w:val="restart"/>
            <w:tcBorders>
              <w:top w:val="nil"/>
              <w:left w:val="nil"/>
              <w:bottom w:val="single" w:sz="4" w:space="0" w:color="000000"/>
              <w:right w:val="single" w:sz="4" w:space="0" w:color="000000"/>
            </w:tcBorders>
            <w:shd w:val="clear" w:color="auto" w:fill="auto"/>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小麦</w:t>
            </w:r>
          </w:p>
        </w:tc>
        <w:tc>
          <w:tcPr>
            <w:tcW w:w="0" w:type="auto"/>
            <w:vMerge w:val="restart"/>
            <w:tcBorders>
              <w:top w:val="nil"/>
              <w:left w:val="nil"/>
              <w:bottom w:val="single" w:sz="4" w:space="0" w:color="000000"/>
              <w:right w:val="single" w:sz="4" w:space="0" w:color="000000"/>
            </w:tcBorders>
            <w:shd w:val="clear" w:color="auto" w:fill="auto"/>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北京</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800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2800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2300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2600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1900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3400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3000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3100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3100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2200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2400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2100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2800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2642 </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kern w:val="0"/>
                <w:sz w:val="18"/>
                <w:szCs w:val="21"/>
              </w:rPr>
            </w:pPr>
            <w:r w:rsidRPr="008702B6">
              <w:rPr>
                <w:kern w:val="0"/>
                <w:sz w:val="18"/>
                <w:szCs w:val="21"/>
              </w:rPr>
              <w:t xml:space="preserve">466 </w:t>
            </w:r>
          </w:p>
        </w:tc>
        <w:tc>
          <w:tcPr>
            <w:tcW w:w="0" w:type="auto"/>
            <w:tcBorders>
              <w:top w:val="nil"/>
              <w:left w:val="nil"/>
              <w:bottom w:val="single" w:sz="4" w:space="0" w:color="000000"/>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17.6 </w:t>
            </w:r>
          </w:p>
        </w:tc>
        <w:tc>
          <w:tcPr>
            <w:tcW w:w="0" w:type="auto"/>
            <w:tcBorders>
              <w:top w:val="nil"/>
              <w:left w:val="single" w:sz="4" w:space="0" w:color="000000"/>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330.2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shd w:val="clear" w:color="auto" w:fill="auto"/>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15</w:t>
            </w:r>
          </w:p>
        </w:tc>
        <w:tc>
          <w:tcPr>
            <w:tcW w:w="0" w:type="auto"/>
            <w:vMerge/>
            <w:tcBorders>
              <w:top w:val="nil"/>
              <w:left w:val="nil"/>
              <w:bottom w:val="single" w:sz="4" w:space="0" w:color="000000"/>
              <w:right w:val="single" w:sz="4" w:space="0" w:color="000000"/>
            </w:tcBorders>
            <w:shd w:val="clear" w:color="auto" w:fill="auto"/>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bottom w:val="single" w:sz="4" w:space="0" w:color="000000"/>
              <w:right w:val="single" w:sz="4" w:space="0" w:color="000000"/>
            </w:tcBorders>
            <w:shd w:val="clear" w:color="auto" w:fill="auto"/>
            <w:vAlign w:val="center"/>
          </w:tcPr>
          <w:p w:rsidR="00A657FF" w:rsidRPr="008702B6" w:rsidRDefault="00A657FF" w:rsidP="00CC1E0F">
            <w:pPr>
              <w:widowControl/>
              <w:jc w:val="left"/>
              <w:rPr>
                <w:rFonts w:cs="宋体"/>
                <w:kern w:val="0"/>
                <w:sz w:val="18"/>
                <w:szCs w:val="21"/>
              </w:rPr>
            </w:pP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2500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2500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2100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2500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2600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2800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3100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2600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2100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2400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2600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2400</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2517 </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kern w:val="0"/>
                <w:sz w:val="18"/>
                <w:szCs w:val="21"/>
              </w:rPr>
            </w:pPr>
            <w:r w:rsidRPr="008702B6">
              <w:rPr>
                <w:kern w:val="0"/>
                <w:sz w:val="18"/>
                <w:szCs w:val="21"/>
              </w:rPr>
              <w:t xml:space="preserve">272 </w:t>
            </w:r>
          </w:p>
        </w:tc>
        <w:tc>
          <w:tcPr>
            <w:tcW w:w="0" w:type="auto"/>
            <w:tcBorders>
              <w:top w:val="nil"/>
              <w:left w:val="nil"/>
              <w:bottom w:val="single" w:sz="4" w:space="0" w:color="000000"/>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10.8 </w:t>
            </w:r>
          </w:p>
        </w:tc>
        <w:tc>
          <w:tcPr>
            <w:tcW w:w="0" w:type="auto"/>
            <w:tcBorders>
              <w:top w:val="nil"/>
              <w:left w:val="single" w:sz="4" w:space="0" w:color="000000"/>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251.7 </w:t>
            </w:r>
          </w:p>
        </w:tc>
      </w:tr>
      <w:tr w:rsidR="00981F79" w:rsidRPr="008702B6" w:rsidTr="006B110D">
        <w:trPr>
          <w:trHeight w:val="315"/>
        </w:trPr>
        <w:tc>
          <w:tcPr>
            <w:tcW w:w="0" w:type="auto"/>
            <w:tcBorders>
              <w:top w:val="nil"/>
              <w:left w:val="single" w:sz="4" w:space="0" w:color="000000"/>
              <w:bottom w:val="single" w:sz="4" w:space="0" w:color="000000"/>
              <w:right w:val="single" w:sz="4" w:space="0" w:color="000000"/>
            </w:tcBorders>
            <w:shd w:val="clear" w:color="auto" w:fill="auto"/>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16</w:t>
            </w:r>
          </w:p>
        </w:tc>
        <w:tc>
          <w:tcPr>
            <w:tcW w:w="0" w:type="auto"/>
            <w:vMerge/>
            <w:tcBorders>
              <w:top w:val="nil"/>
              <w:left w:val="nil"/>
              <w:bottom w:val="single" w:sz="4" w:space="0" w:color="000000"/>
              <w:right w:val="single" w:sz="4" w:space="0" w:color="000000"/>
            </w:tcBorders>
            <w:shd w:val="clear" w:color="auto" w:fill="auto"/>
            <w:vAlign w:val="center"/>
          </w:tcPr>
          <w:p w:rsidR="00A657FF" w:rsidRPr="008702B6" w:rsidRDefault="00A657FF" w:rsidP="00CC1E0F">
            <w:pPr>
              <w:widowControl/>
              <w:jc w:val="left"/>
              <w:rPr>
                <w:rFonts w:cs="宋体"/>
                <w:kern w:val="0"/>
                <w:sz w:val="18"/>
                <w:szCs w:val="21"/>
              </w:rPr>
            </w:pPr>
          </w:p>
        </w:tc>
        <w:tc>
          <w:tcPr>
            <w:tcW w:w="0" w:type="auto"/>
            <w:vMerge/>
            <w:tcBorders>
              <w:top w:val="nil"/>
              <w:left w:val="nil"/>
              <w:bottom w:val="single" w:sz="4" w:space="0" w:color="000000"/>
              <w:right w:val="single" w:sz="4" w:space="0" w:color="000000"/>
            </w:tcBorders>
            <w:shd w:val="clear" w:color="auto" w:fill="auto"/>
            <w:vAlign w:val="center"/>
          </w:tcPr>
          <w:p w:rsidR="00A657FF" w:rsidRPr="008702B6" w:rsidRDefault="00A657FF" w:rsidP="00CC1E0F">
            <w:pPr>
              <w:widowControl/>
              <w:jc w:val="left"/>
              <w:rPr>
                <w:rFonts w:cs="宋体"/>
                <w:kern w:val="0"/>
                <w:sz w:val="18"/>
                <w:szCs w:val="21"/>
              </w:rPr>
            </w:pP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1200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3300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3100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2900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2900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3300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3000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2500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3100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2500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2900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2700</w:t>
            </w:r>
          </w:p>
        </w:tc>
        <w:tc>
          <w:tcPr>
            <w:tcW w:w="0" w:type="auto"/>
            <w:tcBorders>
              <w:top w:val="nil"/>
              <w:left w:val="nil"/>
              <w:bottom w:val="nil"/>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2800</w:t>
            </w:r>
          </w:p>
        </w:tc>
        <w:tc>
          <w:tcPr>
            <w:tcW w:w="0" w:type="auto"/>
            <w:tcBorders>
              <w:top w:val="nil"/>
              <w:left w:val="single" w:sz="4" w:space="0" w:color="000000"/>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2917 </w:t>
            </w:r>
          </w:p>
        </w:tc>
        <w:tc>
          <w:tcPr>
            <w:tcW w:w="0" w:type="auto"/>
            <w:tcBorders>
              <w:top w:val="nil"/>
              <w:left w:val="nil"/>
              <w:bottom w:val="single" w:sz="4" w:space="0" w:color="000000"/>
              <w:right w:val="single" w:sz="4" w:space="0" w:color="000000"/>
            </w:tcBorders>
            <w:shd w:val="clear" w:color="auto" w:fill="4BACC6"/>
            <w:vAlign w:val="center"/>
          </w:tcPr>
          <w:p w:rsidR="00A657FF" w:rsidRPr="008702B6" w:rsidRDefault="00A657FF" w:rsidP="00CC1E0F">
            <w:pPr>
              <w:widowControl/>
              <w:jc w:val="center"/>
              <w:rPr>
                <w:kern w:val="0"/>
                <w:sz w:val="18"/>
                <w:szCs w:val="21"/>
              </w:rPr>
            </w:pPr>
            <w:r w:rsidRPr="008702B6">
              <w:rPr>
                <w:kern w:val="0"/>
                <w:sz w:val="18"/>
                <w:szCs w:val="21"/>
              </w:rPr>
              <w:t xml:space="preserve">266 </w:t>
            </w:r>
          </w:p>
        </w:tc>
        <w:tc>
          <w:tcPr>
            <w:tcW w:w="0" w:type="auto"/>
            <w:tcBorders>
              <w:top w:val="nil"/>
              <w:left w:val="nil"/>
              <w:bottom w:val="single" w:sz="4" w:space="0" w:color="000000"/>
              <w:right w:val="nil"/>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9.1 </w:t>
            </w:r>
          </w:p>
        </w:tc>
        <w:tc>
          <w:tcPr>
            <w:tcW w:w="0" w:type="auto"/>
            <w:tcBorders>
              <w:top w:val="nil"/>
              <w:left w:val="single" w:sz="4" w:space="0" w:color="000000"/>
              <w:bottom w:val="single" w:sz="4" w:space="0" w:color="000000"/>
              <w:right w:val="single" w:sz="4" w:space="0" w:color="000000"/>
            </w:tcBorders>
            <w:shd w:val="clear" w:color="auto" w:fill="4BACC6"/>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 xml:space="preserve">243.1 </w:t>
            </w:r>
          </w:p>
        </w:tc>
      </w:tr>
      <w:tr w:rsidR="00A657FF" w:rsidRPr="008702B6" w:rsidTr="006B110D">
        <w:trPr>
          <w:trHeight w:val="285"/>
        </w:trPr>
        <w:tc>
          <w:tcPr>
            <w:tcW w:w="0" w:type="auto"/>
            <w:gridSpan w:val="18"/>
            <w:tcBorders>
              <w:top w:val="single" w:sz="4" w:space="0" w:color="000000"/>
              <w:left w:val="single" w:sz="4" w:space="0" w:color="000000"/>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hAnsi="宋体" w:cs="宋体" w:hint="eastAsia"/>
                <w:kern w:val="0"/>
                <w:sz w:val="18"/>
                <w:szCs w:val="21"/>
              </w:rPr>
              <w:t>平均值</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11.8</w:t>
            </w:r>
          </w:p>
        </w:tc>
        <w:tc>
          <w:tcPr>
            <w:tcW w:w="0" w:type="auto"/>
            <w:tcBorders>
              <w:top w:val="nil"/>
              <w:left w:val="nil"/>
              <w:bottom w:val="single" w:sz="4" w:space="0" w:color="000000"/>
              <w:right w:val="single" w:sz="4" w:space="0" w:color="000000"/>
            </w:tcBorders>
            <w:vAlign w:val="center"/>
          </w:tcPr>
          <w:p w:rsidR="00A657FF" w:rsidRPr="008702B6" w:rsidRDefault="00A657FF" w:rsidP="00CC1E0F">
            <w:pPr>
              <w:widowControl/>
              <w:jc w:val="center"/>
              <w:rPr>
                <w:rFonts w:cs="宋体"/>
                <w:kern w:val="0"/>
                <w:sz w:val="18"/>
                <w:szCs w:val="21"/>
              </w:rPr>
            </w:pPr>
            <w:r w:rsidRPr="008702B6">
              <w:rPr>
                <w:rFonts w:cs="宋体" w:hint="eastAsia"/>
                <w:kern w:val="0"/>
                <w:sz w:val="18"/>
                <w:szCs w:val="21"/>
              </w:rPr>
              <w:t>106.4</w:t>
            </w:r>
          </w:p>
        </w:tc>
      </w:tr>
      <w:tr w:rsidR="00A657FF" w:rsidRPr="008702B6" w:rsidTr="006B110D">
        <w:trPr>
          <w:trHeight w:val="900"/>
        </w:trPr>
        <w:tc>
          <w:tcPr>
            <w:tcW w:w="0" w:type="auto"/>
            <w:gridSpan w:val="20"/>
            <w:tcBorders>
              <w:top w:val="single" w:sz="4" w:space="0" w:color="000000"/>
              <w:left w:val="single" w:sz="4" w:space="0" w:color="000000"/>
              <w:bottom w:val="single" w:sz="4" w:space="0" w:color="000000"/>
              <w:right w:val="single" w:sz="4" w:space="0" w:color="000000"/>
            </w:tcBorders>
            <w:vAlign w:val="center"/>
          </w:tcPr>
          <w:p w:rsidR="00A657FF" w:rsidRPr="008702B6" w:rsidRDefault="00A657FF" w:rsidP="00CC1E0F">
            <w:pPr>
              <w:widowControl/>
              <w:jc w:val="left"/>
              <w:rPr>
                <w:rFonts w:cs="宋体"/>
                <w:kern w:val="0"/>
                <w:sz w:val="18"/>
                <w:szCs w:val="21"/>
              </w:rPr>
            </w:pPr>
            <w:r w:rsidRPr="008702B6">
              <w:rPr>
                <w:rFonts w:hAnsi="宋体" w:cs="宋体" w:hint="eastAsia"/>
                <w:kern w:val="0"/>
                <w:sz w:val="18"/>
                <w:szCs w:val="21"/>
              </w:rPr>
              <w:t>备注</w:t>
            </w:r>
            <w:r w:rsidRPr="008702B6">
              <w:rPr>
                <w:rFonts w:cs="宋体" w:hint="eastAsia"/>
                <w:kern w:val="0"/>
                <w:sz w:val="18"/>
                <w:szCs w:val="21"/>
              </w:rPr>
              <w:t>1</w:t>
            </w:r>
            <w:r w:rsidRPr="008702B6">
              <w:rPr>
                <w:rFonts w:hAnsi="宋体" w:cs="宋体" w:hint="eastAsia"/>
                <w:kern w:val="0"/>
                <w:sz w:val="18"/>
                <w:szCs w:val="21"/>
              </w:rPr>
              <w:t>：</w:t>
            </w:r>
            <w:r w:rsidRPr="008702B6">
              <w:rPr>
                <w:rFonts w:cs="宋体" w:hint="eastAsia"/>
                <w:kern w:val="0"/>
                <w:sz w:val="18"/>
                <w:szCs w:val="21"/>
              </w:rPr>
              <w:t>ROSA</w:t>
            </w:r>
            <w:r w:rsidRPr="008702B6">
              <w:rPr>
                <w:rFonts w:hAnsi="宋体" w:cs="宋体" w:hint="eastAsia"/>
                <w:kern w:val="0"/>
                <w:sz w:val="18"/>
                <w:szCs w:val="21"/>
              </w:rPr>
              <w:t>测试条法：北京制备的阴性小麦粉样品测定值分别为</w:t>
            </w:r>
            <w:r w:rsidRPr="008702B6">
              <w:rPr>
                <w:rFonts w:cs="宋体" w:hint="eastAsia"/>
                <w:kern w:val="0"/>
                <w:sz w:val="18"/>
                <w:szCs w:val="21"/>
              </w:rPr>
              <w:t>950ppb</w:t>
            </w:r>
            <w:r w:rsidRPr="008702B6">
              <w:rPr>
                <w:rFonts w:hAnsi="宋体" w:cs="宋体" w:hint="eastAsia"/>
                <w:kern w:val="0"/>
                <w:sz w:val="18"/>
                <w:szCs w:val="21"/>
              </w:rPr>
              <w:t>、</w:t>
            </w:r>
            <w:r w:rsidRPr="008702B6">
              <w:rPr>
                <w:rFonts w:cs="宋体" w:hint="eastAsia"/>
                <w:kern w:val="0"/>
                <w:sz w:val="18"/>
                <w:szCs w:val="21"/>
              </w:rPr>
              <w:t>700ppb</w:t>
            </w:r>
            <w:r w:rsidRPr="008702B6">
              <w:rPr>
                <w:rFonts w:hAnsi="宋体" w:cs="宋体" w:hint="eastAsia"/>
                <w:kern w:val="0"/>
                <w:sz w:val="18"/>
                <w:szCs w:val="21"/>
              </w:rPr>
              <w:t>、</w:t>
            </w:r>
            <w:r w:rsidRPr="008702B6">
              <w:rPr>
                <w:rFonts w:cs="宋体" w:hint="eastAsia"/>
                <w:kern w:val="0"/>
                <w:sz w:val="18"/>
                <w:szCs w:val="21"/>
              </w:rPr>
              <w:t>700ppb</w:t>
            </w:r>
            <w:r w:rsidRPr="008702B6">
              <w:rPr>
                <w:rFonts w:hAnsi="宋体" w:cs="宋体" w:hint="eastAsia"/>
                <w:kern w:val="0"/>
                <w:sz w:val="18"/>
                <w:szCs w:val="21"/>
              </w:rPr>
              <w:t>；阴性玉米空白为</w:t>
            </w:r>
            <w:r w:rsidRPr="008702B6">
              <w:rPr>
                <w:rFonts w:cs="宋体" w:hint="eastAsia"/>
                <w:kern w:val="0"/>
                <w:sz w:val="18"/>
                <w:szCs w:val="21"/>
              </w:rPr>
              <w:t>100ppb</w:t>
            </w:r>
            <w:r w:rsidRPr="008702B6">
              <w:rPr>
                <w:rFonts w:hAnsi="宋体" w:cs="宋体" w:hint="eastAsia"/>
                <w:kern w:val="0"/>
                <w:sz w:val="18"/>
                <w:szCs w:val="21"/>
              </w:rPr>
              <w:t>；小麦阳性样品做了</w:t>
            </w:r>
            <w:r w:rsidRPr="008702B6">
              <w:rPr>
                <w:rFonts w:cs="宋体" w:hint="eastAsia"/>
                <w:kern w:val="0"/>
                <w:sz w:val="18"/>
                <w:szCs w:val="21"/>
              </w:rPr>
              <w:t>2</w:t>
            </w:r>
            <w:r w:rsidRPr="008702B6">
              <w:rPr>
                <w:rFonts w:hAnsi="宋体" w:cs="宋体" w:hint="eastAsia"/>
                <w:kern w:val="0"/>
                <w:sz w:val="18"/>
                <w:szCs w:val="21"/>
              </w:rPr>
              <w:t>次，分别是</w:t>
            </w:r>
            <w:r w:rsidRPr="008702B6">
              <w:rPr>
                <w:rFonts w:cs="宋体" w:hint="eastAsia"/>
                <w:kern w:val="0"/>
                <w:sz w:val="18"/>
                <w:szCs w:val="21"/>
              </w:rPr>
              <w:t>5000,5200ppb</w:t>
            </w:r>
            <w:r w:rsidRPr="008702B6">
              <w:rPr>
                <w:rFonts w:hAnsi="宋体" w:cs="宋体" w:hint="eastAsia"/>
                <w:kern w:val="0"/>
                <w:sz w:val="18"/>
                <w:szCs w:val="21"/>
              </w:rPr>
              <w:t>；</w:t>
            </w:r>
            <w:r w:rsidRPr="008702B6">
              <w:rPr>
                <w:rFonts w:cs="宋体" w:hint="eastAsia"/>
                <w:kern w:val="0"/>
                <w:sz w:val="18"/>
                <w:szCs w:val="21"/>
              </w:rPr>
              <w:t>2</w:t>
            </w:r>
            <w:r w:rsidRPr="008702B6">
              <w:rPr>
                <w:rFonts w:hAnsi="宋体" w:cs="宋体" w:hint="eastAsia"/>
                <w:kern w:val="0"/>
                <w:sz w:val="18"/>
                <w:szCs w:val="21"/>
              </w:rPr>
              <w:t>：采用玉米的阴性样品</w:t>
            </w:r>
            <w:r w:rsidRPr="008702B6">
              <w:rPr>
                <w:rFonts w:cs="宋体" w:hint="eastAsia"/>
                <w:kern w:val="0"/>
                <w:sz w:val="18"/>
                <w:szCs w:val="21"/>
              </w:rPr>
              <w:t>24</w:t>
            </w:r>
            <w:r w:rsidRPr="008702B6">
              <w:rPr>
                <w:rFonts w:hAnsi="宋体" w:cs="宋体" w:hint="eastAsia"/>
                <w:kern w:val="0"/>
                <w:sz w:val="18"/>
                <w:szCs w:val="21"/>
              </w:rPr>
              <w:t>个测定值计算</w:t>
            </w:r>
            <w:r w:rsidRPr="008702B6">
              <w:rPr>
                <w:rFonts w:cs="宋体" w:hint="eastAsia"/>
                <w:kern w:val="0"/>
                <w:sz w:val="18"/>
                <w:szCs w:val="21"/>
              </w:rPr>
              <w:t>LOD</w:t>
            </w:r>
            <w:r w:rsidRPr="008702B6">
              <w:rPr>
                <w:rFonts w:hAnsi="宋体" w:cs="宋体" w:hint="eastAsia"/>
                <w:kern w:val="0"/>
                <w:sz w:val="18"/>
                <w:szCs w:val="21"/>
              </w:rPr>
              <w:t>为</w:t>
            </w:r>
            <w:r w:rsidRPr="008702B6">
              <w:rPr>
                <w:rFonts w:cs="宋体" w:hint="eastAsia"/>
                <w:kern w:val="0"/>
                <w:sz w:val="18"/>
                <w:szCs w:val="21"/>
              </w:rPr>
              <w:t>118ppb</w:t>
            </w:r>
            <w:r w:rsidRPr="008702B6">
              <w:rPr>
                <w:rFonts w:hAnsi="宋体" w:cs="宋体" w:hint="eastAsia"/>
                <w:kern w:val="0"/>
                <w:sz w:val="18"/>
                <w:szCs w:val="21"/>
              </w:rPr>
              <w:t>，</w:t>
            </w:r>
            <w:r w:rsidRPr="008702B6">
              <w:rPr>
                <w:rFonts w:cs="宋体" w:hint="eastAsia"/>
                <w:kern w:val="0"/>
                <w:sz w:val="18"/>
                <w:szCs w:val="21"/>
              </w:rPr>
              <w:t>LOQ</w:t>
            </w:r>
            <w:r w:rsidRPr="008702B6">
              <w:rPr>
                <w:rFonts w:hAnsi="宋体" w:cs="宋体" w:hint="eastAsia"/>
                <w:kern w:val="0"/>
                <w:sz w:val="18"/>
                <w:szCs w:val="21"/>
              </w:rPr>
              <w:t>为</w:t>
            </w:r>
            <w:r w:rsidRPr="008702B6">
              <w:rPr>
                <w:rFonts w:cs="宋体" w:hint="eastAsia"/>
                <w:kern w:val="0"/>
                <w:sz w:val="18"/>
                <w:szCs w:val="21"/>
              </w:rPr>
              <w:t>316ppb</w:t>
            </w:r>
            <w:r w:rsidRPr="008702B6">
              <w:rPr>
                <w:rFonts w:hAnsi="宋体" w:cs="宋体" w:hint="eastAsia"/>
                <w:kern w:val="0"/>
                <w:sz w:val="18"/>
                <w:szCs w:val="21"/>
              </w:rPr>
              <w:t>；</w:t>
            </w:r>
            <w:r w:rsidRPr="008702B6">
              <w:rPr>
                <w:rFonts w:cs="宋体" w:hint="eastAsia"/>
                <w:kern w:val="0"/>
                <w:sz w:val="18"/>
                <w:szCs w:val="21"/>
              </w:rPr>
              <w:t>3</w:t>
            </w:r>
            <w:r w:rsidRPr="008702B6">
              <w:rPr>
                <w:rFonts w:hAnsi="宋体" w:cs="宋体" w:hint="eastAsia"/>
                <w:kern w:val="0"/>
                <w:sz w:val="18"/>
                <w:szCs w:val="21"/>
              </w:rPr>
              <w:t>、黄色标注为</w:t>
            </w:r>
            <w:r w:rsidR="004875B8">
              <w:rPr>
                <w:rFonts w:hAnsi="宋体" w:cs="宋体" w:hint="eastAsia"/>
                <w:kern w:val="0"/>
                <w:sz w:val="18"/>
                <w:szCs w:val="21"/>
              </w:rPr>
              <w:t>按格鲁布斯检验确认为</w:t>
            </w:r>
            <w:r w:rsidRPr="008702B6">
              <w:rPr>
                <w:rFonts w:hAnsi="宋体" w:cs="宋体" w:hint="eastAsia"/>
                <w:kern w:val="0"/>
                <w:sz w:val="18"/>
                <w:szCs w:val="21"/>
              </w:rPr>
              <w:t>异常值，蓝色部分</w:t>
            </w:r>
            <w:r w:rsidR="004875B8">
              <w:rPr>
                <w:rFonts w:hAnsi="宋体" w:cs="宋体" w:hint="eastAsia"/>
                <w:kern w:val="0"/>
                <w:sz w:val="18"/>
                <w:szCs w:val="21"/>
              </w:rPr>
              <w:t>因国内实验室定值检验数据偏差较大</w:t>
            </w:r>
            <w:r w:rsidRPr="008702B6">
              <w:rPr>
                <w:rFonts w:hAnsi="宋体" w:cs="宋体" w:hint="eastAsia"/>
                <w:kern w:val="0"/>
                <w:sz w:val="18"/>
                <w:szCs w:val="21"/>
              </w:rPr>
              <w:t>不参与统计。</w:t>
            </w:r>
          </w:p>
        </w:tc>
      </w:tr>
    </w:tbl>
    <w:p w:rsidR="00980D4D" w:rsidRDefault="00980D4D" w:rsidP="009006E2">
      <w:pPr>
        <w:spacing w:line="360" w:lineRule="auto"/>
        <w:ind w:firstLineChars="200" w:firstLine="420"/>
        <w:rPr>
          <w:szCs w:val="21"/>
        </w:rPr>
        <w:sectPr w:rsidR="00980D4D" w:rsidSect="00980D4D">
          <w:pgSz w:w="16838" w:h="11906" w:orient="landscape" w:code="9"/>
          <w:pgMar w:top="1418" w:right="1440" w:bottom="1418" w:left="1440" w:header="851" w:footer="992" w:gutter="0"/>
          <w:pgNumType w:start="1"/>
          <w:cols w:space="720"/>
          <w:docGrid w:type="linesAndChars" w:linePitch="312"/>
        </w:sectPr>
      </w:pPr>
    </w:p>
    <w:p w:rsidR="009006E2" w:rsidRPr="000C59B5" w:rsidRDefault="00E8380B" w:rsidP="009006E2">
      <w:pPr>
        <w:spacing w:line="360" w:lineRule="auto"/>
        <w:rPr>
          <w:rFonts w:eastAsia="楷体_GB2312"/>
          <w:b/>
          <w:bCs/>
          <w:sz w:val="24"/>
          <w:lang w:val="en-GB"/>
        </w:rPr>
      </w:pPr>
      <w:r>
        <w:rPr>
          <w:rFonts w:eastAsia="楷体_GB2312" w:hint="eastAsia"/>
          <w:b/>
          <w:bCs/>
          <w:sz w:val="24"/>
          <w:lang w:val="en-GB"/>
        </w:rPr>
        <w:lastRenderedPageBreak/>
        <w:t>2.2</w:t>
      </w:r>
      <w:r w:rsidR="009006E2" w:rsidRPr="000C59B5">
        <w:rPr>
          <w:rFonts w:eastAsia="楷体_GB2312" w:hint="eastAsia"/>
          <w:b/>
          <w:bCs/>
          <w:sz w:val="24"/>
          <w:lang w:val="en-GB"/>
        </w:rPr>
        <w:t>.5</w:t>
      </w:r>
      <w:r w:rsidR="00B434C6">
        <w:rPr>
          <w:rFonts w:eastAsia="楷体_GB2312" w:hint="eastAsia"/>
          <w:b/>
          <w:bCs/>
          <w:sz w:val="24"/>
          <w:lang w:val="en-GB"/>
        </w:rPr>
        <w:t>方法</w:t>
      </w:r>
      <w:r w:rsidR="009006E2" w:rsidRPr="000C59B5">
        <w:rPr>
          <w:rFonts w:eastAsia="楷体_GB2312" w:hint="eastAsia"/>
          <w:b/>
          <w:bCs/>
          <w:sz w:val="24"/>
          <w:lang w:val="en-GB"/>
        </w:rPr>
        <w:t>精密度</w:t>
      </w:r>
    </w:p>
    <w:p w:rsidR="00B94435" w:rsidRDefault="00B94435" w:rsidP="008702B6">
      <w:pPr>
        <w:pStyle w:val="p15"/>
        <w:spacing w:line="360" w:lineRule="auto"/>
        <w:ind w:firstLineChars="200"/>
      </w:pPr>
      <w:r w:rsidRPr="00B94435">
        <w:rPr>
          <w:rFonts w:hint="eastAsia"/>
        </w:rPr>
        <w:t>6个参与测试人员在相同实验室，按照同一方法，采用不同设备，检测相同样品，进行重复性验证。仅用CHARM提供的有证参考物质进行统计，则变异系数范围在4.7%～19.6%之间，平均为11.7%（见表</w:t>
      </w:r>
      <w:r w:rsidR="008702B6">
        <w:rPr>
          <w:rFonts w:hint="eastAsia"/>
        </w:rPr>
        <w:t>1</w:t>
      </w:r>
      <w:r w:rsidRPr="00B94435">
        <w:rPr>
          <w:rFonts w:hint="eastAsia"/>
        </w:rPr>
        <w:t>）；若将剔除异常值之后的中国样品参与统计，则变异系数范围在4.7%～19.6%，平均变异系数为11.8%</w:t>
      </w:r>
      <w:r>
        <w:rPr>
          <w:rFonts w:hint="eastAsia"/>
        </w:rPr>
        <w:t>。</w:t>
      </w:r>
    </w:p>
    <w:p w:rsidR="008702B6" w:rsidRPr="008702B6" w:rsidRDefault="00E8380B" w:rsidP="008702B6">
      <w:pPr>
        <w:spacing w:line="360" w:lineRule="auto"/>
        <w:rPr>
          <w:rFonts w:ascii="楷体_GB2312" w:eastAsia="楷体_GB2312"/>
          <w:b/>
          <w:sz w:val="24"/>
        </w:rPr>
      </w:pPr>
      <w:r w:rsidRPr="00E8380B">
        <w:rPr>
          <w:rFonts w:eastAsia="楷体_GB2312" w:hint="eastAsia"/>
          <w:b/>
          <w:bCs/>
          <w:sz w:val="24"/>
          <w:lang w:val="en-GB"/>
        </w:rPr>
        <w:t>2.2.</w:t>
      </w:r>
      <w:r w:rsidR="008702B6" w:rsidRPr="00E8380B">
        <w:rPr>
          <w:rFonts w:eastAsia="楷体_GB2312" w:hint="eastAsia"/>
          <w:b/>
          <w:bCs/>
          <w:sz w:val="24"/>
          <w:lang w:val="en-GB"/>
        </w:rPr>
        <w:t>6</w:t>
      </w:r>
      <w:r w:rsidR="00B434C6">
        <w:rPr>
          <w:rFonts w:ascii="楷体_GB2312" w:eastAsia="楷体_GB2312" w:hint="eastAsia"/>
          <w:b/>
          <w:sz w:val="24"/>
        </w:rPr>
        <w:t>方法</w:t>
      </w:r>
      <w:r w:rsidR="008702B6" w:rsidRPr="008702B6">
        <w:rPr>
          <w:rFonts w:ascii="楷体_GB2312" w:eastAsia="楷体_GB2312" w:hint="eastAsia"/>
          <w:b/>
          <w:sz w:val="24"/>
        </w:rPr>
        <w:t>准确性</w:t>
      </w:r>
    </w:p>
    <w:p w:rsidR="008702B6" w:rsidRPr="008702B6" w:rsidRDefault="00E8380B" w:rsidP="008702B6">
      <w:pPr>
        <w:spacing w:line="360" w:lineRule="auto"/>
        <w:rPr>
          <w:rFonts w:ascii="楷体_GB2312" w:eastAsia="楷体_GB2312" w:hAnsiTheme="minorEastAsia"/>
          <w:b/>
          <w:bCs/>
          <w:szCs w:val="21"/>
        </w:rPr>
      </w:pPr>
      <w:r w:rsidRPr="00E8380B">
        <w:rPr>
          <w:rFonts w:eastAsia="楷体_GB2312" w:hint="eastAsia"/>
          <w:b/>
          <w:bCs/>
          <w:sz w:val="24"/>
          <w:lang w:val="en-GB"/>
        </w:rPr>
        <w:t>2.2.</w:t>
      </w:r>
      <w:r w:rsidR="008702B6" w:rsidRPr="00E8380B">
        <w:rPr>
          <w:rFonts w:eastAsia="楷体_GB2312" w:hint="eastAsia"/>
          <w:b/>
          <w:bCs/>
          <w:sz w:val="24"/>
          <w:lang w:val="en-GB"/>
        </w:rPr>
        <w:t>6.1</w:t>
      </w:r>
      <w:r w:rsidR="008702B6" w:rsidRPr="00E8380B">
        <w:rPr>
          <w:rFonts w:eastAsia="楷体_GB2312" w:hint="eastAsia"/>
          <w:b/>
          <w:bCs/>
          <w:sz w:val="24"/>
          <w:lang w:val="en-GB"/>
        </w:rPr>
        <w:t>与</w:t>
      </w:r>
      <w:r w:rsidR="008702B6" w:rsidRPr="008702B6">
        <w:rPr>
          <w:rFonts w:ascii="楷体_GB2312" w:eastAsia="楷体_GB2312" w:hAnsiTheme="minorEastAsia" w:hint="eastAsia"/>
          <w:b/>
          <w:bCs/>
          <w:szCs w:val="21"/>
        </w:rPr>
        <w:t>标准方法参考值比较</w:t>
      </w:r>
    </w:p>
    <w:p w:rsidR="008702B6" w:rsidRDefault="00E8380B" w:rsidP="008702B6">
      <w:pPr>
        <w:pStyle w:val="p15"/>
        <w:spacing w:line="360" w:lineRule="auto"/>
        <w:ind w:firstLineChars="200"/>
        <w:rPr>
          <w:rFonts w:asciiTheme="minorEastAsia" w:eastAsiaTheme="minorEastAsia" w:hAnsiTheme="minorEastAsia"/>
          <w:bCs/>
        </w:rPr>
      </w:pPr>
      <w:r>
        <w:rPr>
          <w:rFonts w:asciiTheme="minorEastAsia" w:eastAsiaTheme="minorEastAsia" w:hAnsiTheme="minorEastAsia" w:hint="eastAsia"/>
          <w:bCs/>
        </w:rPr>
        <w:t>胶体金</w:t>
      </w:r>
      <w:r w:rsidR="008702B6" w:rsidRPr="008702B6">
        <w:rPr>
          <w:rFonts w:asciiTheme="minorEastAsia" w:eastAsiaTheme="minorEastAsia" w:hAnsiTheme="minorEastAsia" w:hint="eastAsia"/>
          <w:bCs/>
        </w:rPr>
        <w:t>测试条与高效液相色谱标准方法分别对11组阳性样品进行检测，采用配对t检验法比较两种方法的检测结果是否存在显著性差异。经计算，tD=1.6，查t分布表，t0.05,10=2.23，tD=1.6&lt; t0.05,10=2.23，说明液相参考值与ROSE测定值之间无显著差异（见表</w:t>
      </w:r>
      <w:r w:rsidR="006B110D">
        <w:rPr>
          <w:rFonts w:asciiTheme="minorEastAsia" w:eastAsiaTheme="minorEastAsia" w:hAnsiTheme="minorEastAsia" w:hint="eastAsia"/>
          <w:bCs/>
        </w:rPr>
        <w:t>2</w:t>
      </w:r>
      <w:r w:rsidR="008702B6" w:rsidRPr="008702B6">
        <w:rPr>
          <w:rFonts w:asciiTheme="minorEastAsia" w:eastAsiaTheme="minorEastAsia" w:hAnsiTheme="minorEastAsia" w:hint="eastAsia"/>
          <w:bCs/>
        </w:rPr>
        <w:t>）。</w:t>
      </w:r>
    </w:p>
    <w:p w:rsidR="008702B6" w:rsidRPr="008702B6" w:rsidRDefault="008702B6" w:rsidP="008702B6">
      <w:pPr>
        <w:widowControl/>
        <w:jc w:val="center"/>
        <w:rPr>
          <w:rFonts w:cs="宋体"/>
          <w:bCs/>
          <w:kern w:val="0"/>
          <w:szCs w:val="21"/>
        </w:rPr>
      </w:pPr>
      <w:r w:rsidRPr="008702B6">
        <w:rPr>
          <w:rFonts w:ascii="宋体" w:hAnsi="宋体" w:cs="宋体" w:hint="eastAsia"/>
          <w:bCs/>
          <w:kern w:val="0"/>
          <w:szCs w:val="21"/>
        </w:rPr>
        <w:t xml:space="preserve">表2 </w:t>
      </w:r>
      <w:r>
        <w:rPr>
          <w:rFonts w:ascii="宋体" w:hAnsi="宋体" w:cs="宋体" w:hint="eastAsia"/>
          <w:bCs/>
          <w:kern w:val="0"/>
          <w:szCs w:val="21"/>
        </w:rPr>
        <w:t>脱氧雪腐镰刀菌烯醇</w:t>
      </w:r>
      <w:r w:rsidRPr="008702B6">
        <w:rPr>
          <w:rFonts w:ascii="宋体" w:hAnsi="宋体" w:cs="宋体" w:hint="eastAsia"/>
          <w:bCs/>
          <w:kern w:val="0"/>
          <w:szCs w:val="21"/>
        </w:rPr>
        <w:t>配对</w:t>
      </w:r>
      <w:r w:rsidRPr="008702B6">
        <w:rPr>
          <w:rFonts w:cs="宋体" w:hint="eastAsia"/>
          <w:bCs/>
          <w:kern w:val="0"/>
          <w:szCs w:val="21"/>
        </w:rPr>
        <w:t>t-</w:t>
      </w:r>
      <w:r w:rsidRPr="008702B6">
        <w:rPr>
          <w:rFonts w:ascii="宋体" w:hAnsi="宋体" w:cs="宋体" w:hint="eastAsia"/>
          <w:bCs/>
          <w:kern w:val="0"/>
          <w:szCs w:val="21"/>
        </w:rPr>
        <w:t>检验表</w:t>
      </w:r>
    </w:p>
    <w:p w:rsidR="008702B6" w:rsidRPr="008702B6" w:rsidRDefault="008702B6" w:rsidP="008702B6">
      <w:pPr>
        <w:widowControl/>
        <w:rPr>
          <w:rFonts w:cs="宋体"/>
          <w:bCs/>
          <w:kern w:val="0"/>
          <w:szCs w:val="21"/>
        </w:rPr>
      </w:pPr>
      <w:r w:rsidRPr="008702B6">
        <w:rPr>
          <w:rFonts w:ascii="宋体" w:hAnsi="宋体" w:cs="宋体" w:hint="eastAsia"/>
          <w:bCs/>
          <w:kern w:val="0"/>
          <w:szCs w:val="21"/>
        </w:rPr>
        <w:t xml:space="preserve"> 浓度单位：</w:t>
      </w:r>
      <w:r w:rsidRPr="008702B6">
        <w:rPr>
          <w:rFonts w:cs="宋体" w:hint="eastAsia"/>
          <w:bCs/>
          <w:kern w:val="0"/>
          <w:szCs w:val="21"/>
        </w:rPr>
        <w:t>ppb</w:t>
      </w:r>
    </w:p>
    <w:tbl>
      <w:tblPr>
        <w:tblW w:w="0" w:type="auto"/>
        <w:jc w:val="center"/>
        <w:tblInd w:w="93" w:type="dxa"/>
        <w:tblLook w:val="0000"/>
      </w:tblPr>
      <w:tblGrid>
        <w:gridCol w:w="576"/>
        <w:gridCol w:w="677"/>
        <w:gridCol w:w="711"/>
        <w:gridCol w:w="981"/>
        <w:gridCol w:w="751"/>
        <w:gridCol w:w="711"/>
        <w:gridCol w:w="531"/>
        <w:gridCol w:w="687"/>
      </w:tblGrid>
      <w:tr w:rsidR="008702B6" w:rsidRPr="008702B6" w:rsidTr="006B110D">
        <w:trPr>
          <w:trHeight w:val="285"/>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hAnsi="宋体" w:cs="宋体" w:hint="eastAsia"/>
                <w:kern w:val="0"/>
                <w:sz w:val="18"/>
              </w:rPr>
              <w:t>序号</w:t>
            </w:r>
          </w:p>
        </w:tc>
        <w:tc>
          <w:tcPr>
            <w:tcW w:w="0" w:type="auto"/>
            <w:gridSpan w:val="2"/>
            <w:tcBorders>
              <w:top w:val="single" w:sz="4" w:space="0" w:color="000000"/>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hAnsi="宋体" w:cs="宋体" w:hint="eastAsia"/>
                <w:kern w:val="0"/>
                <w:sz w:val="18"/>
              </w:rPr>
              <w:t>检测值</w:t>
            </w:r>
          </w:p>
        </w:tc>
        <w:tc>
          <w:tcPr>
            <w:tcW w:w="0" w:type="auto"/>
            <w:vMerge w:val="restart"/>
            <w:tcBorders>
              <w:top w:val="single" w:sz="4" w:space="0" w:color="000000"/>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hAnsi="宋体" w:cs="宋体" w:hint="eastAsia"/>
                <w:kern w:val="0"/>
                <w:sz w:val="18"/>
              </w:rPr>
              <w:t>相差值</w:t>
            </w:r>
            <w:r w:rsidRPr="008702B6">
              <w:rPr>
                <w:rFonts w:cs="宋体" w:hint="eastAsia"/>
                <w:kern w:val="0"/>
                <w:sz w:val="18"/>
              </w:rPr>
              <w:t>D</w:t>
            </w:r>
            <w:r w:rsidRPr="008702B6">
              <w:rPr>
                <w:rFonts w:cs="宋体" w:hint="eastAsia"/>
                <w:kern w:val="0"/>
                <w:sz w:val="18"/>
                <w:szCs w:val="20"/>
              </w:rPr>
              <w:t>i</w:t>
            </w:r>
          </w:p>
        </w:tc>
        <w:tc>
          <w:tcPr>
            <w:tcW w:w="0" w:type="auto"/>
            <w:vMerge w:val="restart"/>
            <w:tcBorders>
              <w:top w:val="single" w:sz="4" w:space="0" w:color="000000"/>
              <w:left w:val="nil"/>
              <w:bottom w:val="single" w:sz="4" w:space="0" w:color="000000"/>
              <w:right w:val="single" w:sz="4" w:space="0" w:color="000000"/>
            </w:tcBorders>
            <w:vAlign w:val="center"/>
          </w:tcPr>
          <w:p w:rsidR="008702B6" w:rsidRPr="008702B6" w:rsidRDefault="008702B6" w:rsidP="00CC1E0F">
            <w:pPr>
              <w:widowControl/>
              <w:jc w:val="center"/>
              <w:rPr>
                <w:kern w:val="0"/>
                <w:sz w:val="18"/>
                <w:szCs w:val="21"/>
              </w:rPr>
            </w:pPr>
            <w:r w:rsidRPr="008702B6">
              <w:rPr>
                <w:kern w:val="0"/>
                <w:sz w:val="18"/>
                <w:szCs w:val="21"/>
              </w:rPr>
              <w:t>D</w:t>
            </w:r>
            <w:r w:rsidRPr="008702B6">
              <w:rPr>
                <w:rFonts w:hAnsi="宋体" w:cs="宋体" w:hint="eastAsia"/>
                <w:kern w:val="0"/>
                <w:sz w:val="18"/>
                <w:szCs w:val="21"/>
              </w:rPr>
              <w:t>均值</w:t>
            </w:r>
          </w:p>
        </w:tc>
        <w:tc>
          <w:tcPr>
            <w:tcW w:w="0" w:type="auto"/>
            <w:vMerge w:val="restart"/>
            <w:tcBorders>
              <w:top w:val="single" w:sz="4" w:space="0" w:color="000000"/>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s</w:t>
            </w:r>
            <w:r w:rsidRPr="008702B6">
              <w:rPr>
                <w:rFonts w:cs="宋体" w:hint="eastAsia"/>
                <w:kern w:val="0"/>
                <w:sz w:val="18"/>
                <w:vertAlign w:val="subscript"/>
              </w:rPr>
              <w:t>D</w:t>
            </w:r>
          </w:p>
        </w:tc>
        <w:tc>
          <w:tcPr>
            <w:tcW w:w="0" w:type="auto"/>
            <w:vMerge w:val="restart"/>
            <w:tcBorders>
              <w:top w:val="single" w:sz="4" w:space="0" w:color="000000"/>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t</w:t>
            </w:r>
            <w:r w:rsidRPr="008702B6">
              <w:rPr>
                <w:rFonts w:cs="宋体" w:hint="eastAsia"/>
                <w:kern w:val="0"/>
                <w:sz w:val="18"/>
                <w:vertAlign w:val="subscript"/>
              </w:rPr>
              <w:t>D</w:t>
            </w:r>
          </w:p>
        </w:tc>
        <w:tc>
          <w:tcPr>
            <w:tcW w:w="0" w:type="auto"/>
            <w:vMerge w:val="restart"/>
            <w:tcBorders>
              <w:top w:val="single" w:sz="4" w:space="0" w:color="000000"/>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t</w:t>
            </w:r>
            <w:r w:rsidRPr="008702B6">
              <w:rPr>
                <w:rFonts w:cs="宋体" w:hint="eastAsia"/>
                <w:kern w:val="0"/>
                <w:sz w:val="18"/>
                <w:vertAlign w:val="subscript"/>
              </w:rPr>
              <w:t>0.05</w:t>
            </w:r>
            <w:r w:rsidRPr="008702B6">
              <w:rPr>
                <w:rFonts w:hAnsi="宋体" w:cs="宋体" w:hint="eastAsia"/>
                <w:kern w:val="0"/>
                <w:sz w:val="18"/>
                <w:vertAlign w:val="subscript"/>
              </w:rPr>
              <w:t>，</w:t>
            </w:r>
            <w:r w:rsidRPr="008702B6">
              <w:rPr>
                <w:rFonts w:cs="宋体" w:hint="eastAsia"/>
                <w:kern w:val="0"/>
                <w:sz w:val="18"/>
                <w:vertAlign w:val="subscript"/>
              </w:rPr>
              <w:t>10</w:t>
            </w:r>
          </w:p>
        </w:tc>
      </w:tr>
      <w:tr w:rsidR="008702B6" w:rsidRPr="008702B6" w:rsidTr="006B110D">
        <w:trPr>
          <w:trHeight w:val="285"/>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HPLC</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ROSA</w:t>
            </w:r>
          </w:p>
        </w:tc>
        <w:tc>
          <w:tcPr>
            <w:tcW w:w="0" w:type="auto"/>
            <w:vMerge/>
            <w:tcBorders>
              <w:top w:val="single" w:sz="4" w:space="0" w:color="000000"/>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single" w:sz="4" w:space="0" w:color="000000"/>
              <w:left w:val="nil"/>
              <w:bottom w:val="single" w:sz="4" w:space="0" w:color="000000"/>
              <w:right w:val="single" w:sz="4" w:space="0" w:color="000000"/>
            </w:tcBorders>
            <w:vAlign w:val="center"/>
          </w:tcPr>
          <w:p w:rsidR="008702B6" w:rsidRPr="008702B6" w:rsidRDefault="008702B6" w:rsidP="00CC1E0F">
            <w:pPr>
              <w:widowControl/>
              <w:jc w:val="left"/>
              <w:rPr>
                <w:kern w:val="0"/>
                <w:sz w:val="18"/>
                <w:szCs w:val="21"/>
              </w:rPr>
            </w:pPr>
          </w:p>
        </w:tc>
        <w:tc>
          <w:tcPr>
            <w:tcW w:w="0" w:type="auto"/>
            <w:vMerge/>
            <w:tcBorders>
              <w:top w:val="single" w:sz="4" w:space="0" w:color="000000"/>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single" w:sz="4" w:space="0" w:color="000000"/>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single" w:sz="4" w:space="0" w:color="000000"/>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r>
      <w:tr w:rsidR="008702B6" w:rsidRPr="008702B6" w:rsidTr="006B110D">
        <w:trPr>
          <w:trHeight w:val="285"/>
          <w:jc w:val="center"/>
        </w:trPr>
        <w:tc>
          <w:tcPr>
            <w:tcW w:w="0" w:type="auto"/>
            <w:tcBorders>
              <w:top w:val="nil"/>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1</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520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504.2</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-15.80 </w:t>
            </w:r>
          </w:p>
        </w:tc>
        <w:tc>
          <w:tcPr>
            <w:tcW w:w="0" w:type="auto"/>
            <w:vMerge w:val="restart"/>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116.82 </w:t>
            </w:r>
          </w:p>
        </w:tc>
        <w:tc>
          <w:tcPr>
            <w:tcW w:w="0" w:type="auto"/>
            <w:vMerge w:val="restart"/>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246.99 </w:t>
            </w:r>
          </w:p>
        </w:tc>
        <w:tc>
          <w:tcPr>
            <w:tcW w:w="0" w:type="auto"/>
            <w:vMerge w:val="restart"/>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1.57 </w:t>
            </w:r>
          </w:p>
        </w:tc>
        <w:tc>
          <w:tcPr>
            <w:tcW w:w="0" w:type="auto"/>
            <w:vMerge w:val="restart"/>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2.23 </w:t>
            </w:r>
          </w:p>
        </w:tc>
      </w:tr>
      <w:tr w:rsidR="008702B6" w:rsidRPr="008702B6" w:rsidTr="006B110D">
        <w:trPr>
          <w:trHeight w:val="285"/>
          <w:jc w:val="center"/>
        </w:trPr>
        <w:tc>
          <w:tcPr>
            <w:tcW w:w="0" w:type="auto"/>
            <w:tcBorders>
              <w:top w:val="nil"/>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2</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1020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920.8 </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-99.17 </w:t>
            </w: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r>
      <w:tr w:rsidR="008702B6" w:rsidRPr="008702B6" w:rsidTr="006B110D">
        <w:trPr>
          <w:trHeight w:val="285"/>
          <w:jc w:val="center"/>
        </w:trPr>
        <w:tc>
          <w:tcPr>
            <w:tcW w:w="0" w:type="auto"/>
            <w:tcBorders>
              <w:top w:val="nil"/>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3</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1020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954.2 </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-65.83 </w:t>
            </w: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r>
      <w:tr w:rsidR="008702B6" w:rsidRPr="008702B6" w:rsidTr="006B110D">
        <w:trPr>
          <w:trHeight w:val="285"/>
          <w:jc w:val="center"/>
        </w:trPr>
        <w:tc>
          <w:tcPr>
            <w:tcW w:w="0" w:type="auto"/>
            <w:tcBorders>
              <w:top w:val="nil"/>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4</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2020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1866.7 </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-153.33 </w:t>
            </w: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r>
      <w:tr w:rsidR="008702B6" w:rsidRPr="008702B6" w:rsidTr="006B110D">
        <w:trPr>
          <w:trHeight w:val="285"/>
          <w:jc w:val="center"/>
        </w:trPr>
        <w:tc>
          <w:tcPr>
            <w:tcW w:w="0" w:type="auto"/>
            <w:tcBorders>
              <w:top w:val="nil"/>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5</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4850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4966.7 </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116.67 </w:t>
            </w: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r>
      <w:tr w:rsidR="008702B6" w:rsidRPr="008702B6" w:rsidTr="006B110D">
        <w:trPr>
          <w:trHeight w:val="285"/>
          <w:jc w:val="center"/>
        </w:trPr>
        <w:tc>
          <w:tcPr>
            <w:tcW w:w="0" w:type="auto"/>
            <w:tcBorders>
              <w:top w:val="nil"/>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6</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1090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1150.0 </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60.00 </w:t>
            </w: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r>
      <w:tr w:rsidR="008702B6" w:rsidRPr="008702B6" w:rsidTr="006B110D">
        <w:trPr>
          <w:trHeight w:val="285"/>
          <w:jc w:val="center"/>
        </w:trPr>
        <w:tc>
          <w:tcPr>
            <w:tcW w:w="0" w:type="auto"/>
            <w:tcBorders>
              <w:top w:val="nil"/>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7</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4560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5316.7 </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756.67 </w:t>
            </w: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r>
      <w:tr w:rsidR="008702B6" w:rsidRPr="008702B6" w:rsidTr="006B110D">
        <w:trPr>
          <w:trHeight w:val="285"/>
          <w:jc w:val="center"/>
        </w:trPr>
        <w:tc>
          <w:tcPr>
            <w:tcW w:w="0" w:type="auto"/>
            <w:tcBorders>
              <w:top w:val="nil"/>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8</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800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1070.8 </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270.83 </w:t>
            </w: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r>
      <w:tr w:rsidR="008702B6" w:rsidRPr="008702B6" w:rsidTr="006B110D">
        <w:trPr>
          <w:trHeight w:val="285"/>
          <w:jc w:val="center"/>
        </w:trPr>
        <w:tc>
          <w:tcPr>
            <w:tcW w:w="0" w:type="auto"/>
            <w:tcBorders>
              <w:top w:val="nil"/>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9</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1000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1140.0 </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140.00 </w:t>
            </w: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r>
      <w:tr w:rsidR="008702B6" w:rsidRPr="008702B6" w:rsidTr="006B110D">
        <w:trPr>
          <w:trHeight w:val="285"/>
          <w:jc w:val="center"/>
        </w:trPr>
        <w:tc>
          <w:tcPr>
            <w:tcW w:w="0" w:type="auto"/>
            <w:tcBorders>
              <w:top w:val="nil"/>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10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1366.7 </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166.67 </w:t>
            </w: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r>
      <w:tr w:rsidR="008702B6" w:rsidRPr="008702B6" w:rsidTr="006B110D">
        <w:trPr>
          <w:trHeight w:val="285"/>
          <w:jc w:val="center"/>
        </w:trPr>
        <w:tc>
          <w:tcPr>
            <w:tcW w:w="0" w:type="auto"/>
            <w:tcBorders>
              <w:top w:val="nil"/>
              <w:left w:val="single" w:sz="4" w:space="0" w:color="000000"/>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11</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1000</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1108.3 </w:t>
            </w:r>
          </w:p>
        </w:tc>
        <w:tc>
          <w:tcPr>
            <w:tcW w:w="0" w:type="auto"/>
            <w:tcBorders>
              <w:top w:val="nil"/>
              <w:left w:val="nil"/>
              <w:bottom w:val="single" w:sz="4" w:space="0" w:color="000000"/>
              <w:right w:val="single" w:sz="4" w:space="0" w:color="000000"/>
            </w:tcBorders>
            <w:vAlign w:val="center"/>
          </w:tcPr>
          <w:p w:rsidR="008702B6" w:rsidRPr="008702B6" w:rsidRDefault="008702B6" w:rsidP="00CC1E0F">
            <w:pPr>
              <w:widowControl/>
              <w:jc w:val="center"/>
              <w:rPr>
                <w:rFonts w:cs="宋体"/>
                <w:kern w:val="0"/>
                <w:sz w:val="18"/>
              </w:rPr>
            </w:pPr>
            <w:r w:rsidRPr="008702B6">
              <w:rPr>
                <w:rFonts w:cs="宋体" w:hint="eastAsia"/>
                <w:kern w:val="0"/>
                <w:sz w:val="18"/>
              </w:rPr>
              <w:t xml:space="preserve">108.33 </w:t>
            </w: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c>
          <w:tcPr>
            <w:tcW w:w="0" w:type="auto"/>
            <w:vMerge/>
            <w:tcBorders>
              <w:top w:val="nil"/>
              <w:left w:val="nil"/>
              <w:bottom w:val="single" w:sz="4" w:space="0" w:color="000000"/>
              <w:right w:val="single" w:sz="4" w:space="0" w:color="000000"/>
            </w:tcBorders>
            <w:vAlign w:val="center"/>
          </w:tcPr>
          <w:p w:rsidR="008702B6" w:rsidRPr="008702B6" w:rsidRDefault="008702B6" w:rsidP="00CC1E0F">
            <w:pPr>
              <w:widowControl/>
              <w:jc w:val="left"/>
              <w:rPr>
                <w:rFonts w:cs="宋体"/>
                <w:kern w:val="0"/>
                <w:sz w:val="18"/>
              </w:rPr>
            </w:pPr>
          </w:p>
        </w:tc>
      </w:tr>
    </w:tbl>
    <w:p w:rsidR="008702B6" w:rsidRPr="008702B6" w:rsidRDefault="00611BA8" w:rsidP="008702B6">
      <w:pPr>
        <w:spacing w:line="360" w:lineRule="auto"/>
        <w:rPr>
          <w:rFonts w:ascii="楷体_GB2312" w:eastAsia="楷体_GB2312" w:hAnsiTheme="minorEastAsia"/>
          <w:b/>
          <w:bCs/>
          <w:szCs w:val="21"/>
        </w:rPr>
      </w:pPr>
      <w:r>
        <w:rPr>
          <w:rFonts w:eastAsia="楷体_GB2312" w:hint="eastAsia"/>
          <w:b/>
          <w:bCs/>
          <w:sz w:val="24"/>
          <w:lang w:val="en-GB"/>
        </w:rPr>
        <w:t>2.2.</w:t>
      </w:r>
      <w:r w:rsidR="008702B6" w:rsidRPr="00611BA8">
        <w:rPr>
          <w:rFonts w:eastAsia="楷体_GB2312" w:hint="eastAsia"/>
          <w:b/>
          <w:bCs/>
          <w:sz w:val="24"/>
          <w:lang w:val="en-GB"/>
        </w:rPr>
        <w:t>6.2</w:t>
      </w:r>
      <w:r w:rsidR="008702B6" w:rsidRPr="008702B6">
        <w:rPr>
          <w:rFonts w:ascii="楷体_GB2312" w:eastAsia="楷体_GB2312" w:hAnsiTheme="minorEastAsia" w:hint="eastAsia"/>
          <w:b/>
          <w:bCs/>
          <w:szCs w:val="21"/>
        </w:rPr>
        <w:t>正确度</w:t>
      </w:r>
    </w:p>
    <w:p w:rsidR="008702B6" w:rsidRPr="008702B6" w:rsidRDefault="008702B6" w:rsidP="008702B6">
      <w:pPr>
        <w:pStyle w:val="p15"/>
        <w:spacing w:line="360" w:lineRule="auto"/>
        <w:ind w:firstLineChars="200"/>
        <w:rPr>
          <w:rFonts w:asciiTheme="minorEastAsia" w:eastAsiaTheme="minorEastAsia" w:hAnsiTheme="minorEastAsia"/>
          <w:bCs/>
        </w:rPr>
      </w:pPr>
      <w:r w:rsidRPr="008702B6">
        <w:rPr>
          <w:rFonts w:asciiTheme="minorEastAsia" w:eastAsiaTheme="minorEastAsia" w:hAnsiTheme="minorEastAsia" w:hint="eastAsia"/>
          <w:bCs/>
        </w:rPr>
        <w:t>将高效液相色谱法的测定结果作为认定值，ROSE快速测试条的测定结果与之比较，按正确度（%）=检测值/认定值x100计算。仅用CHARM提供的有证参考物质进行统计，则正确度范围在90.3%～116.6%之间，平均为101%（见表</w:t>
      </w:r>
      <w:r w:rsidR="006B110D">
        <w:rPr>
          <w:rFonts w:asciiTheme="minorEastAsia" w:eastAsiaTheme="minorEastAsia" w:hAnsiTheme="minorEastAsia" w:hint="eastAsia"/>
          <w:bCs/>
        </w:rPr>
        <w:t>3</w:t>
      </w:r>
      <w:r w:rsidRPr="008702B6">
        <w:rPr>
          <w:rFonts w:asciiTheme="minorEastAsia" w:eastAsiaTheme="minorEastAsia" w:hAnsiTheme="minorEastAsia" w:hint="eastAsia"/>
          <w:bCs/>
        </w:rPr>
        <w:t>）；若将剔除异常值之后的中国样品参与统计，则正确度范围在90.3%～133.9%之间，平均为106%（见表</w:t>
      </w:r>
      <w:r>
        <w:rPr>
          <w:rFonts w:asciiTheme="minorEastAsia" w:eastAsiaTheme="minorEastAsia" w:hAnsiTheme="minorEastAsia" w:hint="eastAsia"/>
          <w:bCs/>
        </w:rPr>
        <w:t>1</w:t>
      </w:r>
      <w:r w:rsidRPr="008702B6">
        <w:rPr>
          <w:rFonts w:asciiTheme="minorEastAsia" w:eastAsiaTheme="minorEastAsia" w:hAnsiTheme="minorEastAsia" w:hint="eastAsia"/>
          <w:bCs/>
        </w:rPr>
        <w:t>）。</w:t>
      </w:r>
    </w:p>
    <w:p w:rsidR="006B110D" w:rsidRDefault="006B110D" w:rsidP="006B110D">
      <w:pPr>
        <w:widowControl/>
        <w:jc w:val="center"/>
        <w:rPr>
          <w:rFonts w:ascii="宋体" w:hAnsi="宋体" w:cs="宋体"/>
          <w:bCs/>
          <w:kern w:val="0"/>
          <w:szCs w:val="21"/>
        </w:rPr>
        <w:sectPr w:rsidR="006B110D">
          <w:pgSz w:w="11906" w:h="16838"/>
          <w:pgMar w:top="1440" w:right="1418" w:bottom="1440" w:left="1418" w:header="851" w:footer="992" w:gutter="0"/>
          <w:pgNumType w:start="1"/>
          <w:cols w:space="720"/>
          <w:docGrid w:type="lines" w:linePitch="312"/>
        </w:sectPr>
      </w:pPr>
    </w:p>
    <w:p w:rsidR="006B110D" w:rsidRPr="006B110D" w:rsidRDefault="006B110D" w:rsidP="006B110D">
      <w:pPr>
        <w:widowControl/>
        <w:jc w:val="center"/>
        <w:rPr>
          <w:rFonts w:cs="宋体"/>
          <w:bCs/>
          <w:kern w:val="0"/>
          <w:szCs w:val="21"/>
        </w:rPr>
      </w:pPr>
      <w:r w:rsidRPr="006B110D">
        <w:rPr>
          <w:rFonts w:ascii="宋体" w:hAnsi="宋体" w:cs="宋体" w:hint="eastAsia"/>
          <w:bCs/>
          <w:kern w:val="0"/>
          <w:szCs w:val="21"/>
        </w:rPr>
        <w:lastRenderedPageBreak/>
        <w:t>表3脱氧雪腐镰刀菌烯醇检测数据分析表（仅</w:t>
      </w:r>
      <w:r w:rsidRPr="006B110D">
        <w:rPr>
          <w:rFonts w:cs="宋体" w:hint="eastAsia"/>
          <w:bCs/>
          <w:kern w:val="0"/>
          <w:szCs w:val="21"/>
        </w:rPr>
        <w:t>CHARM</w:t>
      </w:r>
      <w:r w:rsidRPr="006B110D">
        <w:rPr>
          <w:rFonts w:ascii="宋体" w:hAnsi="宋体" w:cs="宋体" w:hint="eastAsia"/>
          <w:bCs/>
          <w:kern w:val="0"/>
          <w:szCs w:val="21"/>
        </w:rPr>
        <w:t>参考物质）</w:t>
      </w:r>
    </w:p>
    <w:p w:rsidR="006B110D" w:rsidRPr="006B110D" w:rsidRDefault="006B110D" w:rsidP="006B110D">
      <w:pPr>
        <w:widowControl/>
        <w:rPr>
          <w:rFonts w:cs="宋体"/>
          <w:bCs/>
          <w:kern w:val="0"/>
          <w:szCs w:val="21"/>
        </w:rPr>
      </w:pPr>
      <w:r w:rsidRPr="006B110D">
        <w:rPr>
          <w:rFonts w:ascii="宋体" w:hAnsi="宋体" w:cs="宋体" w:hint="eastAsia"/>
          <w:bCs/>
          <w:kern w:val="0"/>
          <w:szCs w:val="21"/>
        </w:rPr>
        <w:t xml:space="preserve">                                                                             浓度单位：</w:t>
      </w:r>
      <w:r w:rsidRPr="006B110D">
        <w:rPr>
          <w:rFonts w:cs="宋体" w:hint="eastAsia"/>
          <w:bCs/>
          <w:kern w:val="0"/>
          <w:szCs w:val="21"/>
        </w:rPr>
        <w:t>ppb</w:t>
      </w:r>
    </w:p>
    <w:tbl>
      <w:tblPr>
        <w:tblW w:w="0" w:type="auto"/>
        <w:jc w:val="center"/>
        <w:tblLook w:val="0000"/>
      </w:tblPr>
      <w:tblGrid>
        <w:gridCol w:w="576"/>
        <w:gridCol w:w="936"/>
        <w:gridCol w:w="936"/>
        <w:gridCol w:w="576"/>
        <w:gridCol w:w="576"/>
        <w:gridCol w:w="576"/>
        <w:gridCol w:w="576"/>
        <w:gridCol w:w="576"/>
        <w:gridCol w:w="576"/>
        <w:gridCol w:w="576"/>
        <w:gridCol w:w="576"/>
        <w:gridCol w:w="576"/>
        <w:gridCol w:w="576"/>
        <w:gridCol w:w="576"/>
        <w:gridCol w:w="576"/>
        <w:gridCol w:w="756"/>
        <w:gridCol w:w="936"/>
        <w:gridCol w:w="1086"/>
        <w:gridCol w:w="906"/>
      </w:tblGrid>
      <w:tr w:rsidR="006B110D" w:rsidRPr="006B110D" w:rsidTr="006B110D">
        <w:trPr>
          <w:trHeight w:val="420"/>
          <w:jc w:val="center"/>
        </w:trPr>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序号</w:t>
            </w:r>
          </w:p>
        </w:tc>
        <w:tc>
          <w:tcPr>
            <w:tcW w:w="0" w:type="auto"/>
            <w:vMerge w:val="restart"/>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样品名称</w:t>
            </w:r>
          </w:p>
        </w:tc>
        <w:tc>
          <w:tcPr>
            <w:tcW w:w="0" w:type="auto"/>
            <w:vMerge w:val="restart"/>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参考浓度</w:t>
            </w:r>
          </w:p>
        </w:tc>
        <w:tc>
          <w:tcPr>
            <w:tcW w:w="0" w:type="auto"/>
            <w:gridSpan w:val="12"/>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cs="宋体" w:hint="eastAsia"/>
                <w:kern w:val="0"/>
                <w:sz w:val="18"/>
                <w:szCs w:val="21"/>
              </w:rPr>
              <w:t xml:space="preserve">ROSA </w:t>
            </w:r>
            <w:r w:rsidRPr="006B110D">
              <w:rPr>
                <w:rFonts w:hAnsi="宋体" w:cs="宋体" w:hint="eastAsia"/>
                <w:kern w:val="0"/>
                <w:sz w:val="18"/>
                <w:szCs w:val="21"/>
              </w:rPr>
              <w:t>检测结果</w:t>
            </w:r>
          </w:p>
        </w:tc>
        <w:tc>
          <w:tcPr>
            <w:tcW w:w="0" w:type="auto"/>
            <w:vMerge w:val="restart"/>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平均值</w:t>
            </w:r>
          </w:p>
        </w:tc>
        <w:tc>
          <w:tcPr>
            <w:tcW w:w="0" w:type="auto"/>
            <w:vMerge w:val="restart"/>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标准偏差</w:t>
            </w:r>
          </w:p>
        </w:tc>
        <w:tc>
          <w:tcPr>
            <w:tcW w:w="0" w:type="auto"/>
            <w:vMerge w:val="restart"/>
            <w:tcBorders>
              <w:top w:val="single" w:sz="4" w:space="0" w:color="000000"/>
              <w:left w:val="nil"/>
              <w:bottom w:val="single" w:sz="4" w:space="0" w:color="000000"/>
              <w:right w:val="nil"/>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变异系数</w:t>
            </w:r>
            <w:r w:rsidRPr="006B110D">
              <w:rPr>
                <w:rFonts w:cs="宋体" w:hint="eastAsia"/>
                <w:kern w:val="0"/>
                <w:sz w:val="18"/>
                <w:szCs w:val="21"/>
              </w:rPr>
              <w:t>%</w:t>
            </w:r>
          </w:p>
        </w:tc>
        <w:tc>
          <w:tcPr>
            <w:tcW w:w="0" w:type="auto"/>
            <w:vMerge w:val="restart"/>
            <w:tcBorders>
              <w:top w:val="single" w:sz="4" w:space="0" w:color="000000"/>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正确度</w:t>
            </w:r>
            <w:r w:rsidRPr="006B110D">
              <w:rPr>
                <w:rFonts w:cs="宋体" w:hint="eastAsia"/>
                <w:kern w:val="0"/>
                <w:sz w:val="18"/>
                <w:szCs w:val="21"/>
              </w:rPr>
              <w:t>%</w:t>
            </w:r>
          </w:p>
        </w:tc>
      </w:tr>
      <w:tr w:rsidR="006B110D" w:rsidRPr="006B110D" w:rsidTr="006B110D">
        <w:trPr>
          <w:trHeight w:val="285"/>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6B110D" w:rsidRPr="006B110D" w:rsidRDefault="006B110D" w:rsidP="00CC1E0F">
            <w:pPr>
              <w:widowControl/>
              <w:jc w:val="left"/>
              <w:rPr>
                <w:rFonts w:cs="宋体"/>
                <w:kern w:val="0"/>
                <w:sz w:val="18"/>
                <w:szCs w:val="21"/>
              </w:rPr>
            </w:pPr>
          </w:p>
        </w:tc>
        <w:tc>
          <w:tcPr>
            <w:tcW w:w="0" w:type="auto"/>
            <w:vMerge/>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left"/>
              <w:rPr>
                <w:rFonts w:cs="宋体"/>
                <w:kern w:val="0"/>
                <w:sz w:val="18"/>
                <w:szCs w:val="21"/>
              </w:rPr>
            </w:pPr>
          </w:p>
        </w:tc>
        <w:tc>
          <w:tcPr>
            <w:tcW w:w="0" w:type="auto"/>
            <w:vMerge/>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left"/>
              <w:rPr>
                <w:rFonts w:cs="宋体"/>
                <w:kern w:val="0"/>
                <w:sz w:val="18"/>
                <w:szCs w:val="21"/>
              </w:rPr>
            </w:pPr>
          </w:p>
        </w:tc>
        <w:tc>
          <w:tcPr>
            <w:tcW w:w="0" w:type="auto"/>
            <w:gridSpan w:val="2"/>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北京</w:t>
            </w:r>
          </w:p>
        </w:tc>
        <w:tc>
          <w:tcPr>
            <w:tcW w:w="0" w:type="auto"/>
            <w:gridSpan w:val="2"/>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山西</w:t>
            </w:r>
          </w:p>
        </w:tc>
        <w:tc>
          <w:tcPr>
            <w:tcW w:w="0" w:type="auto"/>
            <w:gridSpan w:val="2"/>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河南</w:t>
            </w:r>
          </w:p>
        </w:tc>
        <w:tc>
          <w:tcPr>
            <w:tcW w:w="0" w:type="auto"/>
            <w:gridSpan w:val="2"/>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安徽</w:t>
            </w:r>
          </w:p>
        </w:tc>
        <w:tc>
          <w:tcPr>
            <w:tcW w:w="0" w:type="auto"/>
            <w:gridSpan w:val="2"/>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湖北</w:t>
            </w:r>
          </w:p>
        </w:tc>
        <w:tc>
          <w:tcPr>
            <w:tcW w:w="0" w:type="auto"/>
            <w:gridSpan w:val="2"/>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szCs w:val="21"/>
              </w:rPr>
            </w:pPr>
            <w:r w:rsidRPr="006B110D">
              <w:rPr>
                <w:rFonts w:hAnsi="宋体" w:cs="宋体" w:hint="eastAsia"/>
                <w:kern w:val="0"/>
                <w:sz w:val="18"/>
                <w:szCs w:val="21"/>
              </w:rPr>
              <w:t>陕西</w:t>
            </w:r>
          </w:p>
        </w:tc>
        <w:tc>
          <w:tcPr>
            <w:tcW w:w="0" w:type="auto"/>
            <w:vMerge/>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left"/>
              <w:rPr>
                <w:rFonts w:cs="宋体"/>
                <w:kern w:val="0"/>
                <w:sz w:val="18"/>
                <w:szCs w:val="21"/>
              </w:rPr>
            </w:pPr>
          </w:p>
        </w:tc>
        <w:tc>
          <w:tcPr>
            <w:tcW w:w="0" w:type="auto"/>
            <w:vMerge/>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left"/>
              <w:rPr>
                <w:rFonts w:cs="宋体"/>
                <w:kern w:val="0"/>
                <w:sz w:val="18"/>
                <w:szCs w:val="21"/>
              </w:rPr>
            </w:pPr>
          </w:p>
        </w:tc>
        <w:tc>
          <w:tcPr>
            <w:tcW w:w="0" w:type="auto"/>
            <w:vMerge/>
            <w:tcBorders>
              <w:top w:val="single" w:sz="4" w:space="0" w:color="000000"/>
              <w:left w:val="nil"/>
              <w:bottom w:val="single" w:sz="4" w:space="0" w:color="000000"/>
              <w:right w:val="nil"/>
            </w:tcBorders>
            <w:vAlign w:val="center"/>
          </w:tcPr>
          <w:p w:rsidR="006B110D" w:rsidRPr="006B110D" w:rsidRDefault="006B110D" w:rsidP="00CC1E0F">
            <w:pPr>
              <w:widowControl/>
              <w:jc w:val="left"/>
              <w:rPr>
                <w:rFonts w:cs="宋体"/>
                <w:kern w:val="0"/>
                <w:sz w:val="18"/>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6B110D" w:rsidRPr="006B110D" w:rsidRDefault="006B110D" w:rsidP="00CC1E0F">
            <w:pPr>
              <w:widowControl/>
              <w:jc w:val="left"/>
              <w:rPr>
                <w:rFonts w:cs="宋体"/>
                <w:kern w:val="0"/>
                <w:sz w:val="18"/>
                <w:szCs w:val="21"/>
              </w:rPr>
            </w:pPr>
          </w:p>
        </w:tc>
      </w:tr>
      <w:tr w:rsidR="006B110D" w:rsidRPr="006B110D" w:rsidTr="006B110D">
        <w:trPr>
          <w:trHeight w:val="315"/>
          <w:jc w:val="center"/>
        </w:trPr>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w:t>
            </w:r>
          </w:p>
        </w:tc>
        <w:tc>
          <w:tcPr>
            <w:tcW w:w="0" w:type="auto"/>
            <w:vMerge w:val="restart"/>
            <w:tcBorders>
              <w:top w:val="nil"/>
              <w:left w:val="nil"/>
              <w:bottom w:val="nil"/>
              <w:right w:val="single" w:sz="4" w:space="0" w:color="000000"/>
            </w:tcBorders>
            <w:vAlign w:val="center"/>
          </w:tcPr>
          <w:p w:rsidR="006B110D" w:rsidRPr="006B110D" w:rsidRDefault="006B110D" w:rsidP="00CC1E0F">
            <w:pPr>
              <w:widowControl/>
              <w:jc w:val="center"/>
              <w:rPr>
                <w:rFonts w:cs="宋体"/>
                <w:kern w:val="0"/>
                <w:sz w:val="18"/>
              </w:rPr>
            </w:pPr>
            <w:r w:rsidRPr="006B110D">
              <w:rPr>
                <w:rFonts w:hAnsi="宋体" w:cs="宋体" w:hint="eastAsia"/>
                <w:kern w:val="0"/>
                <w:sz w:val="18"/>
              </w:rPr>
              <w:t>小麦</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ND</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0</w:t>
            </w:r>
          </w:p>
        </w:tc>
        <w:tc>
          <w:tcPr>
            <w:tcW w:w="0" w:type="auto"/>
            <w:vMerge w:val="restart"/>
            <w:tcBorders>
              <w:top w:val="nil"/>
              <w:left w:val="nil"/>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 33 </w:t>
            </w:r>
          </w:p>
        </w:tc>
        <w:tc>
          <w:tcPr>
            <w:tcW w:w="0" w:type="auto"/>
            <w:vMerge w:val="restart"/>
            <w:tcBorders>
              <w:top w:val="nil"/>
              <w:left w:val="nil"/>
              <w:right w:val="single" w:sz="4" w:space="0" w:color="000000"/>
            </w:tcBorders>
            <w:vAlign w:val="center"/>
          </w:tcPr>
          <w:p w:rsidR="006B110D" w:rsidRPr="006B110D" w:rsidRDefault="006B110D" w:rsidP="00CC1E0F">
            <w:pPr>
              <w:widowControl/>
              <w:jc w:val="center"/>
              <w:rPr>
                <w:kern w:val="0"/>
                <w:sz w:val="18"/>
              </w:rPr>
            </w:pPr>
            <w:r w:rsidRPr="006B110D">
              <w:rPr>
                <w:kern w:val="0"/>
                <w:sz w:val="18"/>
              </w:rPr>
              <w:t xml:space="preserve"> 28 </w:t>
            </w:r>
          </w:p>
        </w:tc>
        <w:tc>
          <w:tcPr>
            <w:tcW w:w="0" w:type="auto"/>
            <w:vMerge w:val="restart"/>
            <w:tcBorders>
              <w:top w:val="nil"/>
              <w:left w:val="nil"/>
              <w:right w:val="nil"/>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 /</w:t>
            </w:r>
          </w:p>
        </w:tc>
        <w:tc>
          <w:tcPr>
            <w:tcW w:w="0" w:type="auto"/>
            <w:vMerge w:val="restart"/>
            <w:tcBorders>
              <w:top w:val="nil"/>
              <w:left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 </w:t>
            </w:r>
          </w:p>
        </w:tc>
      </w:tr>
      <w:tr w:rsidR="006B110D" w:rsidRPr="006B110D" w:rsidTr="006B110D">
        <w:trPr>
          <w:trHeight w:val="315"/>
          <w:jc w:val="center"/>
        </w:trPr>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2</w:t>
            </w:r>
          </w:p>
        </w:tc>
        <w:tc>
          <w:tcPr>
            <w:tcW w:w="0" w:type="auto"/>
            <w:vMerge/>
            <w:tcBorders>
              <w:top w:val="nil"/>
              <w:left w:val="nil"/>
              <w:bottom w:val="nil"/>
              <w:right w:val="single" w:sz="4" w:space="0" w:color="000000"/>
            </w:tcBorders>
            <w:vAlign w:val="center"/>
          </w:tcPr>
          <w:p w:rsidR="006B110D" w:rsidRPr="006B110D" w:rsidRDefault="006B110D" w:rsidP="00CC1E0F">
            <w:pPr>
              <w:widowControl/>
              <w:jc w:val="left"/>
              <w:rPr>
                <w:rFonts w:cs="宋体"/>
                <w:kern w:val="0"/>
                <w:sz w:val="18"/>
              </w:rPr>
            </w:pP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ND</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0</w:t>
            </w:r>
          </w:p>
        </w:tc>
        <w:tc>
          <w:tcPr>
            <w:tcW w:w="0" w:type="auto"/>
            <w:vMerge/>
            <w:tcBorders>
              <w:top w:val="nil"/>
              <w:left w:val="nil"/>
              <w:right w:val="single" w:sz="4" w:space="0" w:color="000000"/>
            </w:tcBorders>
            <w:vAlign w:val="center"/>
          </w:tcPr>
          <w:p w:rsidR="006B110D" w:rsidRPr="006B110D" w:rsidRDefault="006B110D" w:rsidP="00CC1E0F">
            <w:pPr>
              <w:widowControl/>
              <w:jc w:val="left"/>
              <w:rPr>
                <w:rFonts w:cs="宋体"/>
                <w:kern w:val="0"/>
                <w:sz w:val="18"/>
              </w:rPr>
            </w:pPr>
          </w:p>
        </w:tc>
        <w:tc>
          <w:tcPr>
            <w:tcW w:w="0" w:type="auto"/>
            <w:vMerge/>
            <w:tcBorders>
              <w:top w:val="nil"/>
              <w:left w:val="nil"/>
              <w:right w:val="single" w:sz="4" w:space="0" w:color="000000"/>
            </w:tcBorders>
            <w:vAlign w:val="center"/>
          </w:tcPr>
          <w:p w:rsidR="006B110D" w:rsidRPr="006B110D" w:rsidRDefault="006B110D" w:rsidP="00CC1E0F">
            <w:pPr>
              <w:widowControl/>
              <w:jc w:val="left"/>
              <w:rPr>
                <w:kern w:val="0"/>
                <w:sz w:val="18"/>
              </w:rPr>
            </w:pPr>
          </w:p>
        </w:tc>
        <w:tc>
          <w:tcPr>
            <w:tcW w:w="0" w:type="auto"/>
            <w:vMerge/>
            <w:tcBorders>
              <w:top w:val="nil"/>
              <w:left w:val="nil"/>
              <w:right w:val="nil"/>
            </w:tcBorders>
            <w:vAlign w:val="center"/>
          </w:tcPr>
          <w:p w:rsidR="006B110D" w:rsidRPr="006B110D" w:rsidRDefault="006B110D" w:rsidP="00CC1E0F">
            <w:pPr>
              <w:widowControl/>
              <w:jc w:val="left"/>
              <w:rPr>
                <w:rFonts w:cs="宋体"/>
                <w:kern w:val="0"/>
                <w:sz w:val="18"/>
              </w:rPr>
            </w:pPr>
          </w:p>
        </w:tc>
        <w:tc>
          <w:tcPr>
            <w:tcW w:w="0" w:type="auto"/>
            <w:vMerge/>
            <w:tcBorders>
              <w:top w:val="nil"/>
              <w:left w:val="single" w:sz="4" w:space="0" w:color="000000"/>
              <w:right w:val="single" w:sz="4" w:space="0" w:color="000000"/>
            </w:tcBorders>
            <w:vAlign w:val="center"/>
          </w:tcPr>
          <w:p w:rsidR="006B110D" w:rsidRPr="006B110D" w:rsidRDefault="006B110D" w:rsidP="00CC1E0F">
            <w:pPr>
              <w:widowControl/>
              <w:jc w:val="left"/>
              <w:rPr>
                <w:rFonts w:cs="宋体"/>
                <w:kern w:val="0"/>
                <w:sz w:val="18"/>
              </w:rPr>
            </w:pPr>
          </w:p>
        </w:tc>
      </w:tr>
      <w:tr w:rsidR="006B110D" w:rsidRPr="006B110D" w:rsidTr="006B110D">
        <w:trPr>
          <w:trHeight w:val="315"/>
          <w:jc w:val="center"/>
        </w:trPr>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3</w:t>
            </w:r>
          </w:p>
        </w:tc>
        <w:tc>
          <w:tcPr>
            <w:tcW w:w="0" w:type="auto"/>
            <w:vMerge/>
            <w:tcBorders>
              <w:top w:val="nil"/>
              <w:left w:val="nil"/>
              <w:bottom w:val="nil"/>
              <w:right w:val="single" w:sz="4" w:space="0" w:color="000000"/>
            </w:tcBorders>
            <w:vAlign w:val="center"/>
          </w:tcPr>
          <w:p w:rsidR="006B110D" w:rsidRPr="006B110D" w:rsidRDefault="006B110D" w:rsidP="00CC1E0F">
            <w:pPr>
              <w:widowControl/>
              <w:jc w:val="left"/>
              <w:rPr>
                <w:rFonts w:cs="宋体"/>
                <w:kern w:val="0"/>
                <w:sz w:val="18"/>
              </w:rPr>
            </w:pP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520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650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650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600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350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504 </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kern w:val="0"/>
                <w:sz w:val="18"/>
              </w:rPr>
            </w:pPr>
            <w:r w:rsidRPr="006B110D">
              <w:rPr>
                <w:kern w:val="0"/>
                <w:sz w:val="18"/>
              </w:rPr>
              <w:t xml:space="preserve">99 </w:t>
            </w:r>
          </w:p>
        </w:tc>
        <w:tc>
          <w:tcPr>
            <w:tcW w:w="0" w:type="auto"/>
            <w:tcBorders>
              <w:top w:val="nil"/>
              <w:left w:val="nil"/>
              <w:bottom w:val="single" w:sz="4" w:space="0" w:color="000000"/>
              <w:right w:val="nil"/>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19.6 </w:t>
            </w:r>
          </w:p>
        </w:tc>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97.0 </w:t>
            </w:r>
          </w:p>
        </w:tc>
      </w:tr>
      <w:tr w:rsidR="006B110D" w:rsidRPr="006B110D" w:rsidTr="006B110D">
        <w:trPr>
          <w:trHeight w:val="315"/>
          <w:jc w:val="center"/>
        </w:trPr>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w:t>
            </w:r>
          </w:p>
        </w:tc>
        <w:tc>
          <w:tcPr>
            <w:tcW w:w="0" w:type="auto"/>
            <w:vMerge/>
            <w:tcBorders>
              <w:top w:val="nil"/>
              <w:left w:val="nil"/>
              <w:bottom w:val="nil"/>
              <w:right w:val="single" w:sz="4" w:space="0" w:color="000000"/>
            </w:tcBorders>
            <w:vAlign w:val="center"/>
          </w:tcPr>
          <w:p w:rsidR="006B110D" w:rsidRPr="006B110D" w:rsidRDefault="006B110D" w:rsidP="00CC1E0F">
            <w:pPr>
              <w:widowControl/>
              <w:jc w:val="left"/>
              <w:rPr>
                <w:rFonts w:cs="宋体"/>
                <w:kern w:val="0"/>
                <w:sz w:val="18"/>
              </w:rPr>
            </w:pP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1020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1100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1100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750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850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800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850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750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900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750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921 </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kern w:val="0"/>
                <w:sz w:val="18"/>
              </w:rPr>
            </w:pPr>
            <w:r w:rsidRPr="006B110D">
              <w:rPr>
                <w:kern w:val="0"/>
                <w:sz w:val="18"/>
              </w:rPr>
              <w:t xml:space="preserve">156 </w:t>
            </w:r>
          </w:p>
        </w:tc>
        <w:tc>
          <w:tcPr>
            <w:tcW w:w="0" w:type="auto"/>
            <w:vMerge w:val="restart"/>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14.0 </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90.3 </w:t>
            </w:r>
          </w:p>
        </w:tc>
      </w:tr>
      <w:tr w:rsidR="006B110D" w:rsidRPr="006B110D" w:rsidTr="006B110D">
        <w:trPr>
          <w:trHeight w:val="315"/>
          <w:jc w:val="center"/>
        </w:trPr>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w:t>
            </w:r>
          </w:p>
        </w:tc>
        <w:tc>
          <w:tcPr>
            <w:tcW w:w="0" w:type="auto"/>
            <w:vMerge/>
            <w:tcBorders>
              <w:top w:val="nil"/>
              <w:left w:val="nil"/>
              <w:bottom w:val="nil"/>
              <w:right w:val="single" w:sz="4" w:space="0" w:color="000000"/>
            </w:tcBorders>
            <w:vAlign w:val="center"/>
          </w:tcPr>
          <w:p w:rsidR="006B110D" w:rsidRPr="006B110D" w:rsidRDefault="006B110D" w:rsidP="00CC1E0F">
            <w:pPr>
              <w:widowControl/>
              <w:jc w:val="left"/>
              <w:rPr>
                <w:rFonts w:cs="宋体"/>
                <w:kern w:val="0"/>
                <w:sz w:val="18"/>
              </w:rPr>
            </w:pP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1020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1100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900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850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900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900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950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850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900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900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954 </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kern w:val="0"/>
                <w:sz w:val="18"/>
              </w:rPr>
            </w:pPr>
            <w:r w:rsidRPr="006B110D">
              <w:rPr>
                <w:kern w:val="0"/>
                <w:sz w:val="18"/>
              </w:rPr>
              <w:t xml:space="preserve">105 </w:t>
            </w:r>
          </w:p>
        </w:tc>
        <w:tc>
          <w:tcPr>
            <w:tcW w:w="0" w:type="auto"/>
            <w:vMerge/>
            <w:tcBorders>
              <w:top w:val="nil"/>
              <w:left w:val="nil"/>
              <w:bottom w:val="single" w:sz="4" w:space="0" w:color="000000"/>
              <w:right w:val="single" w:sz="4" w:space="0" w:color="000000"/>
            </w:tcBorders>
            <w:vAlign w:val="center"/>
          </w:tcPr>
          <w:p w:rsidR="006B110D" w:rsidRPr="006B110D" w:rsidRDefault="006B110D" w:rsidP="00CC1E0F">
            <w:pPr>
              <w:widowControl/>
              <w:jc w:val="left"/>
              <w:rPr>
                <w:rFonts w:cs="宋体"/>
                <w:kern w:val="0"/>
                <w:sz w:val="18"/>
              </w:rPr>
            </w:pP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93.5 </w:t>
            </w:r>
          </w:p>
        </w:tc>
      </w:tr>
      <w:tr w:rsidR="006B110D" w:rsidRPr="006B110D" w:rsidTr="006B110D">
        <w:trPr>
          <w:trHeight w:val="315"/>
          <w:jc w:val="center"/>
        </w:trPr>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6</w:t>
            </w:r>
          </w:p>
        </w:tc>
        <w:tc>
          <w:tcPr>
            <w:tcW w:w="0" w:type="auto"/>
            <w:vMerge/>
            <w:tcBorders>
              <w:top w:val="nil"/>
              <w:left w:val="nil"/>
              <w:bottom w:val="nil"/>
              <w:right w:val="single" w:sz="4" w:space="0" w:color="000000"/>
            </w:tcBorders>
            <w:vAlign w:val="center"/>
          </w:tcPr>
          <w:p w:rsidR="006B110D" w:rsidRPr="006B110D" w:rsidRDefault="006B110D" w:rsidP="00CC1E0F">
            <w:pPr>
              <w:widowControl/>
              <w:jc w:val="left"/>
              <w:rPr>
                <w:rFonts w:cs="宋体"/>
                <w:kern w:val="0"/>
                <w:sz w:val="18"/>
              </w:rPr>
            </w:pP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2020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2200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2700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1500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2000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1600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1800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2000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2000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1700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1600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1500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1800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1867 </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kern w:val="0"/>
                <w:sz w:val="18"/>
              </w:rPr>
            </w:pPr>
            <w:r w:rsidRPr="006B110D">
              <w:rPr>
                <w:kern w:val="0"/>
                <w:sz w:val="18"/>
              </w:rPr>
              <w:t xml:space="preserve">345 </w:t>
            </w:r>
          </w:p>
        </w:tc>
        <w:tc>
          <w:tcPr>
            <w:tcW w:w="0" w:type="auto"/>
            <w:tcBorders>
              <w:top w:val="nil"/>
              <w:left w:val="nil"/>
              <w:bottom w:val="single" w:sz="4" w:space="0" w:color="000000"/>
              <w:right w:val="nil"/>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18.5 </w:t>
            </w:r>
          </w:p>
        </w:tc>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92.4 </w:t>
            </w:r>
          </w:p>
        </w:tc>
      </w:tr>
      <w:tr w:rsidR="006B110D" w:rsidRPr="006B110D" w:rsidTr="006B110D">
        <w:trPr>
          <w:trHeight w:val="315"/>
          <w:jc w:val="center"/>
        </w:trPr>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7</w:t>
            </w:r>
          </w:p>
        </w:tc>
        <w:tc>
          <w:tcPr>
            <w:tcW w:w="0" w:type="auto"/>
            <w:vMerge/>
            <w:tcBorders>
              <w:top w:val="nil"/>
              <w:left w:val="nil"/>
              <w:bottom w:val="nil"/>
              <w:right w:val="single" w:sz="4" w:space="0" w:color="000000"/>
            </w:tcBorders>
            <w:vAlign w:val="center"/>
          </w:tcPr>
          <w:p w:rsidR="006B110D" w:rsidRPr="006B110D" w:rsidRDefault="006B110D" w:rsidP="00CC1E0F">
            <w:pPr>
              <w:widowControl/>
              <w:jc w:val="left"/>
              <w:rPr>
                <w:rFonts w:cs="宋体"/>
                <w:kern w:val="0"/>
                <w:sz w:val="18"/>
              </w:rPr>
            </w:pP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4850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5500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4900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5300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4900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5100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4300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4400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4967 </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kern w:val="0"/>
                <w:sz w:val="18"/>
              </w:rPr>
            </w:pPr>
            <w:r w:rsidRPr="006B110D">
              <w:rPr>
                <w:kern w:val="0"/>
                <w:sz w:val="18"/>
              </w:rPr>
              <w:t xml:space="preserve">337 </w:t>
            </w:r>
          </w:p>
        </w:tc>
        <w:tc>
          <w:tcPr>
            <w:tcW w:w="0" w:type="auto"/>
            <w:tcBorders>
              <w:top w:val="nil"/>
              <w:left w:val="nil"/>
              <w:bottom w:val="single" w:sz="4" w:space="0" w:color="000000"/>
              <w:right w:val="nil"/>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6.8 </w:t>
            </w:r>
          </w:p>
        </w:tc>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102.4 </w:t>
            </w:r>
          </w:p>
        </w:tc>
      </w:tr>
      <w:tr w:rsidR="006B110D" w:rsidRPr="006B110D" w:rsidTr="006B110D">
        <w:trPr>
          <w:trHeight w:val="315"/>
          <w:jc w:val="center"/>
        </w:trPr>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8</w:t>
            </w:r>
          </w:p>
        </w:tc>
        <w:tc>
          <w:tcPr>
            <w:tcW w:w="0" w:type="auto"/>
            <w:vMerge w:val="restart"/>
            <w:tcBorders>
              <w:top w:val="single" w:sz="4" w:space="0" w:color="000000"/>
              <w:left w:val="nil"/>
              <w:bottom w:val="nil"/>
              <w:right w:val="single" w:sz="4" w:space="0" w:color="000000"/>
            </w:tcBorders>
            <w:vAlign w:val="center"/>
          </w:tcPr>
          <w:p w:rsidR="006B110D" w:rsidRPr="006B110D" w:rsidRDefault="006B110D" w:rsidP="00CC1E0F">
            <w:pPr>
              <w:widowControl/>
              <w:jc w:val="center"/>
              <w:rPr>
                <w:rFonts w:cs="宋体"/>
                <w:kern w:val="0"/>
                <w:sz w:val="18"/>
              </w:rPr>
            </w:pPr>
            <w:r w:rsidRPr="006B110D">
              <w:rPr>
                <w:rFonts w:hAnsi="宋体" w:cs="宋体" w:hint="eastAsia"/>
                <w:kern w:val="0"/>
                <w:sz w:val="18"/>
              </w:rPr>
              <w:t>玉米</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1090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1100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1300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1100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1100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1150 </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kern w:val="0"/>
                <w:sz w:val="18"/>
              </w:rPr>
            </w:pPr>
            <w:r w:rsidRPr="006B110D">
              <w:rPr>
                <w:kern w:val="0"/>
                <w:sz w:val="18"/>
              </w:rPr>
              <w:t xml:space="preserve">90 </w:t>
            </w:r>
          </w:p>
        </w:tc>
        <w:tc>
          <w:tcPr>
            <w:tcW w:w="0" w:type="auto"/>
            <w:tcBorders>
              <w:top w:val="nil"/>
              <w:left w:val="nil"/>
              <w:bottom w:val="single" w:sz="4" w:space="0" w:color="000000"/>
              <w:right w:val="nil"/>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7.9 </w:t>
            </w:r>
          </w:p>
        </w:tc>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105.5 </w:t>
            </w:r>
          </w:p>
        </w:tc>
      </w:tr>
      <w:tr w:rsidR="006B110D" w:rsidRPr="006B110D" w:rsidTr="006B110D">
        <w:trPr>
          <w:trHeight w:val="315"/>
          <w:jc w:val="center"/>
        </w:trPr>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9</w:t>
            </w:r>
          </w:p>
        </w:tc>
        <w:tc>
          <w:tcPr>
            <w:tcW w:w="0" w:type="auto"/>
            <w:vMerge/>
            <w:tcBorders>
              <w:top w:val="single" w:sz="4" w:space="0" w:color="000000"/>
              <w:left w:val="nil"/>
              <w:bottom w:val="nil"/>
              <w:right w:val="single" w:sz="4" w:space="0" w:color="000000"/>
            </w:tcBorders>
            <w:vAlign w:val="center"/>
          </w:tcPr>
          <w:p w:rsidR="006B110D" w:rsidRPr="006B110D" w:rsidRDefault="006B110D" w:rsidP="00CC1E0F">
            <w:pPr>
              <w:widowControl/>
              <w:jc w:val="left"/>
              <w:rPr>
                <w:rFonts w:cs="宋体"/>
                <w:kern w:val="0"/>
                <w:sz w:val="18"/>
              </w:rPr>
            </w:pP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4560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5300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5400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5400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5800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5400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5300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5400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4800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5500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5300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5317 </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kern w:val="0"/>
                <w:sz w:val="18"/>
              </w:rPr>
            </w:pPr>
            <w:r w:rsidRPr="006B110D">
              <w:rPr>
                <w:kern w:val="0"/>
                <w:sz w:val="18"/>
              </w:rPr>
              <w:t xml:space="preserve">248 </w:t>
            </w:r>
          </w:p>
        </w:tc>
        <w:tc>
          <w:tcPr>
            <w:tcW w:w="0" w:type="auto"/>
            <w:tcBorders>
              <w:top w:val="nil"/>
              <w:left w:val="nil"/>
              <w:bottom w:val="single" w:sz="4" w:space="0" w:color="000000"/>
              <w:right w:val="nil"/>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4.7 </w:t>
            </w:r>
          </w:p>
        </w:tc>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116.6 </w:t>
            </w:r>
          </w:p>
        </w:tc>
      </w:tr>
      <w:tr w:rsidR="006B110D" w:rsidRPr="006B110D" w:rsidTr="006B110D">
        <w:trPr>
          <w:trHeight w:val="315"/>
          <w:jc w:val="center"/>
        </w:trPr>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13</w:t>
            </w:r>
          </w:p>
        </w:tc>
        <w:tc>
          <w:tcPr>
            <w:tcW w:w="0" w:type="auto"/>
            <w:tcBorders>
              <w:top w:val="single" w:sz="4" w:space="0" w:color="000000"/>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hAnsi="宋体" w:cs="宋体" w:hint="eastAsia"/>
                <w:kern w:val="0"/>
                <w:sz w:val="18"/>
              </w:rPr>
              <w:t>大米</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1300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1100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950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1100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950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1200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1100</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1108 </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kern w:val="0"/>
                <w:sz w:val="18"/>
              </w:rPr>
            </w:pPr>
            <w:r w:rsidRPr="006B110D">
              <w:rPr>
                <w:kern w:val="0"/>
                <w:sz w:val="18"/>
              </w:rPr>
              <w:t xml:space="preserve">114 </w:t>
            </w:r>
          </w:p>
        </w:tc>
        <w:tc>
          <w:tcPr>
            <w:tcW w:w="0" w:type="auto"/>
            <w:tcBorders>
              <w:top w:val="nil"/>
              <w:left w:val="nil"/>
              <w:bottom w:val="single" w:sz="4" w:space="0" w:color="000000"/>
              <w:right w:val="nil"/>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10.3 </w:t>
            </w:r>
          </w:p>
        </w:tc>
        <w:tc>
          <w:tcPr>
            <w:tcW w:w="0" w:type="auto"/>
            <w:tcBorders>
              <w:top w:val="nil"/>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 xml:space="preserve">110.8 </w:t>
            </w:r>
          </w:p>
        </w:tc>
      </w:tr>
      <w:tr w:rsidR="006B110D" w:rsidRPr="006B110D" w:rsidTr="006B110D">
        <w:trPr>
          <w:trHeight w:val="285"/>
          <w:jc w:val="center"/>
        </w:trPr>
        <w:tc>
          <w:tcPr>
            <w:tcW w:w="0" w:type="auto"/>
            <w:gridSpan w:val="17"/>
            <w:tcBorders>
              <w:top w:val="single" w:sz="4" w:space="0" w:color="000000"/>
              <w:left w:val="single" w:sz="4" w:space="0" w:color="000000"/>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hAnsi="宋体" w:cs="宋体" w:hint="eastAsia"/>
                <w:kern w:val="0"/>
                <w:sz w:val="18"/>
              </w:rPr>
              <w:t>平均值</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11.7</w:t>
            </w:r>
          </w:p>
        </w:tc>
        <w:tc>
          <w:tcPr>
            <w:tcW w:w="0" w:type="auto"/>
            <w:tcBorders>
              <w:top w:val="nil"/>
              <w:left w:val="nil"/>
              <w:bottom w:val="single" w:sz="4" w:space="0" w:color="000000"/>
              <w:right w:val="single" w:sz="4" w:space="0" w:color="000000"/>
            </w:tcBorders>
            <w:vAlign w:val="center"/>
          </w:tcPr>
          <w:p w:rsidR="006B110D" w:rsidRPr="006B110D" w:rsidRDefault="006B110D" w:rsidP="00CC1E0F">
            <w:pPr>
              <w:widowControl/>
              <w:jc w:val="center"/>
              <w:rPr>
                <w:rFonts w:cs="宋体"/>
                <w:kern w:val="0"/>
                <w:sz w:val="18"/>
              </w:rPr>
            </w:pPr>
            <w:r w:rsidRPr="006B110D">
              <w:rPr>
                <w:rFonts w:cs="宋体" w:hint="eastAsia"/>
                <w:kern w:val="0"/>
                <w:sz w:val="18"/>
              </w:rPr>
              <w:t>101</w:t>
            </w:r>
          </w:p>
        </w:tc>
      </w:tr>
    </w:tbl>
    <w:p w:rsidR="006B110D" w:rsidRDefault="006B110D" w:rsidP="006B110D">
      <w:pPr>
        <w:spacing w:line="360" w:lineRule="auto"/>
        <w:jc w:val="center"/>
        <w:rPr>
          <w:rFonts w:asciiTheme="minorEastAsia" w:eastAsiaTheme="minorEastAsia" w:hAnsiTheme="minorEastAsia"/>
          <w:bCs/>
          <w:szCs w:val="21"/>
        </w:rPr>
        <w:sectPr w:rsidR="006B110D" w:rsidSect="006B110D">
          <w:pgSz w:w="16838" w:h="11906" w:orient="landscape"/>
          <w:pgMar w:top="1418" w:right="1440" w:bottom="1418" w:left="1440" w:header="851" w:footer="992" w:gutter="0"/>
          <w:pgNumType w:start="1"/>
          <w:cols w:space="720"/>
          <w:docGrid w:type="linesAndChars" w:linePitch="312"/>
        </w:sectPr>
      </w:pPr>
    </w:p>
    <w:p w:rsidR="008702B6" w:rsidRPr="008702B6" w:rsidRDefault="00611BA8" w:rsidP="008702B6">
      <w:pPr>
        <w:spacing w:line="360" w:lineRule="auto"/>
        <w:rPr>
          <w:rFonts w:ascii="楷体_GB2312" w:eastAsia="楷体_GB2312"/>
          <w:b/>
          <w:sz w:val="24"/>
        </w:rPr>
      </w:pPr>
      <w:r>
        <w:rPr>
          <w:rFonts w:eastAsia="楷体_GB2312" w:hint="eastAsia"/>
          <w:b/>
          <w:bCs/>
          <w:sz w:val="24"/>
          <w:lang w:val="en-GB"/>
        </w:rPr>
        <w:lastRenderedPageBreak/>
        <w:t>2.2</w:t>
      </w:r>
      <w:r w:rsidR="008702B6" w:rsidRPr="00611BA8">
        <w:rPr>
          <w:rFonts w:eastAsia="楷体_GB2312" w:hint="eastAsia"/>
          <w:b/>
          <w:bCs/>
          <w:sz w:val="24"/>
          <w:lang w:val="en-GB"/>
        </w:rPr>
        <w:t>.7</w:t>
      </w:r>
      <w:r w:rsidR="00B434C6">
        <w:rPr>
          <w:rFonts w:ascii="楷体_GB2312" w:eastAsia="楷体_GB2312" w:hint="eastAsia"/>
          <w:b/>
          <w:sz w:val="24"/>
        </w:rPr>
        <w:t>方法</w:t>
      </w:r>
      <w:r w:rsidR="008702B6">
        <w:rPr>
          <w:rFonts w:ascii="楷体_GB2312" w:eastAsia="楷体_GB2312" w:hint="eastAsia"/>
          <w:b/>
          <w:sz w:val="24"/>
        </w:rPr>
        <w:t>特异</w:t>
      </w:r>
      <w:r w:rsidR="008702B6" w:rsidRPr="008702B6">
        <w:rPr>
          <w:rFonts w:ascii="楷体_GB2312" w:eastAsia="楷体_GB2312" w:hint="eastAsia"/>
          <w:b/>
          <w:sz w:val="24"/>
        </w:rPr>
        <w:t>性</w:t>
      </w:r>
    </w:p>
    <w:p w:rsidR="008702B6" w:rsidRDefault="008702B6" w:rsidP="006B110D">
      <w:pPr>
        <w:pStyle w:val="p15"/>
        <w:spacing w:line="360" w:lineRule="auto"/>
        <w:ind w:firstLineChars="200"/>
        <w:rPr>
          <w:rFonts w:asciiTheme="minorEastAsia" w:eastAsiaTheme="minorEastAsia" w:hAnsiTheme="minorEastAsia"/>
          <w:bCs/>
        </w:rPr>
      </w:pPr>
      <w:r w:rsidRPr="008702B6">
        <w:rPr>
          <w:rFonts w:asciiTheme="minorEastAsia" w:eastAsiaTheme="minorEastAsia" w:hAnsiTheme="minorEastAsia" w:hint="eastAsia"/>
          <w:bCs/>
        </w:rPr>
        <w:t xml:space="preserve">选择 </w:t>
      </w:r>
      <w:r w:rsidRPr="008702B6">
        <w:rPr>
          <w:rFonts w:asciiTheme="minorEastAsia" w:eastAsiaTheme="minorEastAsia" w:hAnsiTheme="minorEastAsia"/>
          <w:bCs/>
        </w:rPr>
        <w:t>DON</w:t>
      </w:r>
      <w:r w:rsidRPr="008702B6">
        <w:rPr>
          <w:rFonts w:asciiTheme="minorEastAsia" w:eastAsiaTheme="minorEastAsia" w:hAnsiTheme="minorEastAsia" w:hint="eastAsia"/>
          <w:bCs/>
        </w:rPr>
        <w:t>结构类似物和其他</w:t>
      </w:r>
      <w:r w:rsidRPr="008702B6">
        <w:rPr>
          <w:rFonts w:asciiTheme="minorEastAsia" w:eastAsiaTheme="minorEastAsia" w:hAnsiTheme="minorEastAsia"/>
          <w:bCs/>
        </w:rPr>
        <w:t>5</w:t>
      </w:r>
      <w:r w:rsidRPr="008702B6">
        <w:rPr>
          <w:rFonts w:asciiTheme="minorEastAsia" w:eastAsiaTheme="minorEastAsia" w:hAnsiTheme="minorEastAsia" w:hint="eastAsia"/>
          <w:bCs/>
        </w:rPr>
        <w:t>种生物毒素的标准品在阴性玉米中进行添加，添加的浓度为</w:t>
      </w:r>
      <w:r w:rsidRPr="008702B6">
        <w:rPr>
          <w:rFonts w:asciiTheme="minorEastAsia" w:eastAsiaTheme="minorEastAsia" w:hAnsiTheme="minorEastAsia"/>
          <w:bCs/>
        </w:rPr>
        <w:t>1000</w:t>
      </w:r>
      <w:bookmarkStart w:id="0" w:name="OLE_LINK1"/>
      <w:bookmarkStart w:id="1" w:name="OLE_LINK2"/>
      <w:r w:rsidRPr="008702B6">
        <w:rPr>
          <w:rFonts w:asciiTheme="minorEastAsia" w:eastAsiaTheme="minorEastAsia" w:hAnsiTheme="minorEastAsia"/>
          <w:bCs/>
        </w:rPr>
        <w:t>μg/kg</w:t>
      </w:r>
      <w:bookmarkEnd w:id="0"/>
      <w:bookmarkEnd w:id="1"/>
      <w:r w:rsidRPr="008702B6">
        <w:rPr>
          <w:rFonts w:asciiTheme="minorEastAsia" w:eastAsiaTheme="minorEastAsia" w:hAnsiTheme="minorEastAsia" w:hint="eastAsia"/>
          <w:bCs/>
        </w:rPr>
        <w:t>进行抗体结合反应，结果见表</w:t>
      </w:r>
      <w:r w:rsidR="006B110D">
        <w:rPr>
          <w:rFonts w:asciiTheme="minorEastAsia" w:eastAsiaTheme="minorEastAsia" w:hAnsiTheme="minorEastAsia" w:hint="eastAsia"/>
          <w:bCs/>
        </w:rPr>
        <w:t>4</w:t>
      </w:r>
      <w:r w:rsidRPr="008702B6">
        <w:rPr>
          <w:rFonts w:asciiTheme="minorEastAsia" w:eastAsiaTheme="minorEastAsia" w:hAnsiTheme="minorEastAsia" w:hint="eastAsia"/>
          <w:bCs/>
        </w:rPr>
        <w:t>，同时对照使用酶联免疫试剂盒测定的</w:t>
      </w:r>
      <w:r w:rsidRPr="008702B6">
        <w:rPr>
          <w:rFonts w:asciiTheme="minorEastAsia" w:eastAsiaTheme="minorEastAsia" w:hAnsiTheme="minorEastAsia"/>
          <w:bCs/>
        </w:rPr>
        <w:t>IC50</w:t>
      </w:r>
      <w:r w:rsidRPr="008702B6">
        <w:rPr>
          <w:rFonts w:asciiTheme="minorEastAsia" w:eastAsiaTheme="minorEastAsia" w:hAnsiTheme="minorEastAsia" w:hint="eastAsia"/>
          <w:bCs/>
        </w:rPr>
        <w:t>的比值；结果显示该抗体与赭曲霉毒素</w:t>
      </w:r>
      <w:r w:rsidRPr="008702B6">
        <w:rPr>
          <w:rFonts w:asciiTheme="minorEastAsia" w:eastAsiaTheme="minorEastAsia" w:hAnsiTheme="minorEastAsia"/>
          <w:bCs/>
        </w:rPr>
        <w:t>A</w:t>
      </w:r>
      <w:r w:rsidRPr="008702B6">
        <w:rPr>
          <w:rFonts w:asciiTheme="minorEastAsia" w:eastAsiaTheme="minorEastAsia" w:hAnsiTheme="minorEastAsia" w:hint="eastAsia"/>
          <w:bCs/>
        </w:rPr>
        <w:t>，赭曲霉毒素</w:t>
      </w:r>
      <w:r w:rsidRPr="008702B6">
        <w:rPr>
          <w:rFonts w:asciiTheme="minorEastAsia" w:eastAsiaTheme="minorEastAsia" w:hAnsiTheme="minorEastAsia"/>
          <w:bCs/>
        </w:rPr>
        <w:t>B</w:t>
      </w:r>
      <w:r w:rsidRPr="008702B6">
        <w:rPr>
          <w:rFonts w:asciiTheme="minorEastAsia" w:eastAsiaTheme="minorEastAsia" w:hAnsiTheme="minorEastAsia" w:hint="eastAsia"/>
          <w:bCs/>
        </w:rPr>
        <w:t>，黄曲霉毒素</w:t>
      </w:r>
      <w:r w:rsidRPr="008702B6">
        <w:rPr>
          <w:rFonts w:asciiTheme="minorEastAsia" w:eastAsiaTheme="minorEastAsia" w:hAnsiTheme="minorEastAsia"/>
          <w:bCs/>
        </w:rPr>
        <w:t>Bl</w:t>
      </w:r>
      <w:r w:rsidRPr="008702B6">
        <w:rPr>
          <w:rFonts w:asciiTheme="minorEastAsia" w:eastAsiaTheme="minorEastAsia" w:hAnsiTheme="minorEastAsia" w:hint="eastAsia"/>
          <w:bCs/>
        </w:rPr>
        <w:t>和</w:t>
      </w:r>
      <w:r w:rsidRPr="008702B6">
        <w:rPr>
          <w:rFonts w:asciiTheme="minorEastAsia" w:eastAsiaTheme="minorEastAsia" w:hAnsiTheme="minorEastAsia"/>
          <w:bCs/>
        </w:rPr>
        <w:t>T-2</w:t>
      </w:r>
      <w:r w:rsidRPr="008702B6">
        <w:rPr>
          <w:rFonts w:asciiTheme="minorEastAsia" w:eastAsiaTheme="minorEastAsia" w:hAnsiTheme="minorEastAsia" w:hint="eastAsia"/>
          <w:bCs/>
        </w:rPr>
        <w:t>毒素玉米赤霉烯酮均无交叉反应，与其代谢物、结构类似物有一定的交叉反应（＜</w:t>
      </w:r>
      <w:r w:rsidRPr="008702B6">
        <w:rPr>
          <w:rFonts w:asciiTheme="minorEastAsia" w:eastAsiaTheme="minorEastAsia" w:hAnsiTheme="minorEastAsia"/>
          <w:bCs/>
        </w:rPr>
        <w:t>10%</w:t>
      </w:r>
      <w:r w:rsidRPr="008702B6">
        <w:rPr>
          <w:rFonts w:asciiTheme="minorEastAsia" w:eastAsiaTheme="minorEastAsia" w:hAnsiTheme="minorEastAsia" w:hint="eastAsia"/>
          <w:bCs/>
        </w:rPr>
        <w:t>）。实验结果表明，呕吐毒素胶体金试剂条对伏马毒素、赭曲霉毒素、黄曲霉毒素、玉米赤霉毒素并无交叉反应，其方法特异性可以能满足检测要求。</w:t>
      </w:r>
    </w:p>
    <w:p w:rsidR="006B110D" w:rsidRPr="006B110D" w:rsidRDefault="006B110D" w:rsidP="006B110D">
      <w:pPr>
        <w:tabs>
          <w:tab w:val="left" w:pos="900"/>
          <w:tab w:val="left" w:pos="1080"/>
          <w:tab w:val="left" w:pos="1260"/>
        </w:tabs>
        <w:autoSpaceDE w:val="0"/>
        <w:autoSpaceDN w:val="0"/>
        <w:jc w:val="center"/>
        <w:rPr>
          <w:kern w:val="0"/>
          <w:szCs w:val="21"/>
        </w:rPr>
      </w:pPr>
      <w:r w:rsidRPr="006B110D">
        <w:rPr>
          <w:rFonts w:ascii="宋体" w:hAnsi="宋体" w:cs="宋体" w:hint="eastAsia"/>
          <w:bCs/>
          <w:kern w:val="0"/>
          <w:szCs w:val="21"/>
        </w:rPr>
        <w:t xml:space="preserve">表4 </w:t>
      </w:r>
      <w:r w:rsidRPr="006B110D">
        <w:rPr>
          <w:rFonts w:hint="eastAsia"/>
          <w:kern w:val="0"/>
          <w:szCs w:val="21"/>
        </w:rPr>
        <w:t>交叉反应率表</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6"/>
        <w:gridCol w:w="2616"/>
        <w:gridCol w:w="756"/>
        <w:gridCol w:w="1731"/>
      </w:tblGrid>
      <w:tr w:rsidR="006B110D" w:rsidRPr="006B110D" w:rsidTr="006B110D">
        <w:trPr>
          <w:jc w:val="center"/>
        </w:trPr>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rFonts w:hint="eastAsia"/>
                <w:sz w:val="18"/>
              </w:rPr>
              <w:t>序号</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rFonts w:hint="eastAsia"/>
                <w:sz w:val="18"/>
              </w:rPr>
              <w:t>名称</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rFonts w:hint="eastAsia"/>
                <w:sz w:val="18"/>
              </w:rPr>
              <w:t>测定值</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rFonts w:hint="eastAsia"/>
                <w:sz w:val="18"/>
              </w:rPr>
              <w:t>交叉反应率</w:t>
            </w:r>
            <w:r w:rsidRPr="006B110D">
              <w:rPr>
                <w:sz w:val="18"/>
              </w:rPr>
              <w:t>IC</w:t>
            </w:r>
            <w:r w:rsidRPr="006B110D">
              <w:rPr>
                <w:sz w:val="18"/>
                <w:vertAlign w:val="subscript"/>
              </w:rPr>
              <w:t>50</w:t>
            </w:r>
            <w:r w:rsidRPr="006B110D">
              <w:rPr>
                <w:sz w:val="18"/>
              </w:rPr>
              <w:t>(%)</w:t>
            </w:r>
          </w:p>
        </w:tc>
      </w:tr>
      <w:tr w:rsidR="006B110D" w:rsidRPr="006B110D" w:rsidTr="006B110D">
        <w:trPr>
          <w:jc w:val="center"/>
        </w:trPr>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1</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rPr>
                <w:sz w:val="18"/>
              </w:rPr>
            </w:pPr>
            <w:r w:rsidRPr="006B110D">
              <w:rPr>
                <w:sz w:val="18"/>
              </w:rPr>
              <w:t>DON</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autoSpaceDN w:val="0"/>
              <w:jc w:val="center"/>
              <w:textAlignment w:val="top"/>
              <w:rPr>
                <w:sz w:val="18"/>
              </w:rPr>
            </w:pPr>
            <w:r w:rsidRPr="006B110D">
              <w:rPr>
                <w:color w:val="000000"/>
                <w:sz w:val="18"/>
              </w:rPr>
              <w:t>1157</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100.00</w:t>
            </w:r>
          </w:p>
        </w:tc>
      </w:tr>
      <w:tr w:rsidR="006B110D" w:rsidRPr="006B110D" w:rsidTr="006B110D">
        <w:trPr>
          <w:jc w:val="center"/>
        </w:trPr>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2</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rPr>
                <w:sz w:val="18"/>
              </w:rPr>
            </w:pPr>
            <w:r w:rsidRPr="006B110D">
              <w:rPr>
                <w:sz w:val="18"/>
              </w:rPr>
              <w:t>OTA(</w:t>
            </w:r>
            <w:r w:rsidRPr="006B110D">
              <w:rPr>
                <w:rFonts w:hint="eastAsia"/>
                <w:sz w:val="18"/>
              </w:rPr>
              <w:t>赭曲霉毒素</w:t>
            </w:r>
            <w:r w:rsidRPr="006B110D">
              <w:rPr>
                <w:sz w:val="18"/>
              </w:rPr>
              <w:t>A)</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autoSpaceDN w:val="0"/>
              <w:jc w:val="center"/>
              <w:textAlignment w:val="top"/>
              <w:rPr>
                <w:sz w:val="18"/>
              </w:rPr>
            </w:pPr>
            <w:r w:rsidRPr="006B110D">
              <w:rPr>
                <w:color w:val="000000"/>
                <w:sz w:val="18"/>
              </w:rPr>
              <w:t>78</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&lt;0.05</w:t>
            </w:r>
          </w:p>
        </w:tc>
      </w:tr>
      <w:tr w:rsidR="006B110D" w:rsidRPr="006B110D" w:rsidTr="006B110D">
        <w:trPr>
          <w:jc w:val="center"/>
        </w:trPr>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3</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rPr>
                <w:sz w:val="18"/>
              </w:rPr>
            </w:pPr>
            <w:r w:rsidRPr="006B110D">
              <w:rPr>
                <w:sz w:val="18"/>
              </w:rPr>
              <w:t>OTB(</w:t>
            </w:r>
            <w:r w:rsidRPr="006B110D">
              <w:rPr>
                <w:rFonts w:hint="eastAsia"/>
                <w:sz w:val="18"/>
              </w:rPr>
              <w:t>赭曲霉毒素</w:t>
            </w:r>
            <w:r w:rsidRPr="006B110D">
              <w:rPr>
                <w:sz w:val="18"/>
              </w:rPr>
              <w:t>B)</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autoSpaceDN w:val="0"/>
              <w:jc w:val="center"/>
              <w:textAlignment w:val="top"/>
              <w:rPr>
                <w:sz w:val="18"/>
              </w:rPr>
            </w:pPr>
            <w:r w:rsidRPr="006B110D">
              <w:rPr>
                <w:color w:val="000000"/>
                <w:sz w:val="18"/>
              </w:rPr>
              <w:t>57</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&lt;0.04</w:t>
            </w:r>
          </w:p>
        </w:tc>
      </w:tr>
      <w:tr w:rsidR="006B110D" w:rsidRPr="006B110D" w:rsidTr="006B110D">
        <w:trPr>
          <w:jc w:val="center"/>
        </w:trPr>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4</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rPr>
                <w:sz w:val="18"/>
              </w:rPr>
            </w:pPr>
            <w:r w:rsidRPr="006B110D">
              <w:rPr>
                <w:rFonts w:hint="eastAsia"/>
                <w:sz w:val="18"/>
              </w:rPr>
              <w:t>黄曲霉毒素</w:t>
            </w:r>
            <w:r w:rsidRPr="006B110D">
              <w:rPr>
                <w:sz w:val="18"/>
              </w:rPr>
              <w:t>B</w:t>
            </w:r>
            <w:r w:rsidRPr="006B110D">
              <w:rPr>
                <w:sz w:val="18"/>
                <w:vertAlign w:val="subscript"/>
              </w:rPr>
              <w:t>l</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autoSpaceDN w:val="0"/>
              <w:jc w:val="center"/>
              <w:textAlignment w:val="top"/>
              <w:rPr>
                <w:sz w:val="18"/>
              </w:rPr>
            </w:pPr>
            <w:r w:rsidRPr="006B110D">
              <w:rPr>
                <w:color w:val="000000"/>
                <w:sz w:val="18"/>
              </w:rPr>
              <w:t>91</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&lt;0.03</w:t>
            </w:r>
          </w:p>
        </w:tc>
      </w:tr>
      <w:tr w:rsidR="006B110D" w:rsidRPr="006B110D" w:rsidTr="006B110D">
        <w:trPr>
          <w:jc w:val="center"/>
        </w:trPr>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5</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rPr>
                <w:sz w:val="18"/>
              </w:rPr>
            </w:pPr>
            <w:r w:rsidRPr="006B110D">
              <w:rPr>
                <w:rFonts w:hint="eastAsia"/>
                <w:sz w:val="18"/>
              </w:rPr>
              <w:t>玉米赤霉烯酮</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autoSpaceDN w:val="0"/>
              <w:jc w:val="center"/>
              <w:textAlignment w:val="top"/>
              <w:rPr>
                <w:sz w:val="18"/>
              </w:rPr>
            </w:pPr>
            <w:r w:rsidRPr="006B110D">
              <w:rPr>
                <w:sz w:val="18"/>
              </w:rPr>
              <w:t>81</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&lt;0.05</w:t>
            </w:r>
          </w:p>
        </w:tc>
      </w:tr>
      <w:tr w:rsidR="006B110D" w:rsidRPr="006B110D" w:rsidTr="006B110D">
        <w:trPr>
          <w:jc w:val="center"/>
        </w:trPr>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6</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rPr>
                <w:sz w:val="18"/>
              </w:rPr>
            </w:pPr>
            <w:r w:rsidRPr="006B110D">
              <w:rPr>
                <w:sz w:val="18"/>
              </w:rPr>
              <w:t>T-2</w:t>
            </w:r>
            <w:r w:rsidRPr="006B110D">
              <w:rPr>
                <w:rFonts w:hint="eastAsia"/>
                <w:sz w:val="18"/>
              </w:rPr>
              <w:t>毒素</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autoSpaceDN w:val="0"/>
              <w:jc w:val="center"/>
              <w:textAlignment w:val="top"/>
              <w:rPr>
                <w:sz w:val="18"/>
              </w:rPr>
            </w:pPr>
            <w:r w:rsidRPr="006B110D">
              <w:rPr>
                <w:color w:val="000000"/>
                <w:sz w:val="18"/>
              </w:rPr>
              <w:t>80</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&lt;0.02</w:t>
            </w:r>
          </w:p>
        </w:tc>
      </w:tr>
      <w:tr w:rsidR="006B110D" w:rsidRPr="006B110D" w:rsidTr="006B110D">
        <w:trPr>
          <w:trHeight w:val="90"/>
          <w:jc w:val="center"/>
        </w:trPr>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7</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rPr>
                <w:sz w:val="18"/>
              </w:rPr>
            </w:pPr>
            <w:r w:rsidRPr="006B110D">
              <w:rPr>
                <w:sz w:val="18"/>
              </w:rPr>
              <w:t>3-</w:t>
            </w:r>
            <w:r w:rsidRPr="006B110D">
              <w:rPr>
                <w:rFonts w:hint="eastAsia"/>
                <w:sz w:val="18"/>
              </w:rPr>
              <w:t>乙酰基脱氧雪腐镰刀菌烯醇</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autoSpaceDN w:val="0"/>
              <w:jc w:val="center"/>
              <w:textAlignment w:val="top"/>
              <w:rPr>
                <w:sz w:val="18"/>
              </w:rPr>
            </w:pPr>
            <w:r w:rsidRPr="006B110D">
              <w:rPr>
                <w:color w:val="000000"/>
                <w:sz w:val="18"/>
              </w:rPr>
              <w:t>109</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7.51</w:t>
            </w:r>
          </w:p>
        </w:tc>
      </w:tr>
      <w:tr w:rsidR="006B110D" w:rsidRPr="006B110D" w:rsidTr="006B110D">
        <w:trPr>
          <w:jc w:val="center"/>
        </w:trPr>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8</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rPr>
                <w:sz w:val="18"/>
              </w:rPr>
            </w:pPr>
            <w:r w:rsidRPr="006B110D">
              <w:rPr>
                <w:sz w:val="18"/>
              </w:rPr>
              <w:t>15-</w:t>
            </w:r>
            <w:r w:rsidRPr="006B110D">
              <w:rPr>
                <w:rFonts w:hint="eastAsia"/>
                <w:sz w:val="18"/>
              </w:rPr>
              <w:t>乙酰基脱氧雪腐镰刀菌烯醇</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autoSpaceDN w:val="0"/>
              <w:jc w:val="center"/>
              <w:textAlignment w:val="top"/>
              <w:rPr>
                <w:sz w:val="18"/>
              </w:rPr>
            </w:pPr>
            <w:r w:rsidRPr="006B110D">
              <w:rPr>
                <w:color w:val="000000"/>
                <w:sz w:val="18"/>
              </w:rPr>
              <w:t>104</w:t>
            </w:r>
          </w:p>
        </w:tc>
        <w:tc>
          <w:tcPr>
            <w:tcW w:w="0" w:type="auto"/>
            <w:tcBorders>
              <w:top w:val="single" w:sz="4" w:space="0" w:color="auto"/>
              <w:left w:val="single" w:sz="4" w:space="0" w:color="auto"/>
              <w:bottom w:val="single" w:sz="4" w:space="0" w:color="auto"/>
              <w:right w:val="single" w:sz="4" w:space="0" w:color="auto"/>
            </w:tcBorders>
          </w:tcPr>
          <w:p w:rsidR="006B110D" w:rsidRPr="006B110D" w:rsidRDefault="006B110D" w:rsidP="00CC1E0F">
            <w:pPr>
              <w:jc w:val="center"/>
              <w:rPr>
                <w:sz w:val="18"/>
              </w:rPr>
            </w:pPr>
            <w:r w:rsidRPr="006B110D">
              <w:rPr>
                <w:sz w:val="18"/>
              </w:rPr>
              <w:t>5.90</w:t>
            </w:r>
          </w:p>
        </w:tc>
      </w:tr>
    </w:tbl>
    <w:p w:rsidR="00611BA8" w:rsidRDefault="00611BA8" w:rsidP="009006E2">
      <w:pPr>
        <w:spacing w:line="360" w:lineRule="auto"/>
        <w:rPr>
          <w:rFonts w:eastAsia="楷体_GB2312"/>
          <w:b/>
          <w:bCs/>
          <w:sz w:val="24"/>
          <w:lang w:val="en-GB"/>
        </w:rPr>
      </w:pPr>
    </w:p>
    <w:p w:rsidR="00611BA8" w:rsidRDefault="00611BA8" w:rsidP="009006E2">
      <w:pPr>
        <w:spacing w:line="360" w:lineRule="auto"/>
        <w:rPr>
          <w:rFonts w:eastAsia="楷体_GB2312"/>
          <w:b/>
          <w:bCs/>
          <w:sz w:val="24"/>
          <w:lang w:val="en-GB"/>
        </w:rPr>
      </w:pPr>
      <w:r>
        <w:rPr>
          <w:rFonts w:eastAsia="楷体_GB2312" w:hint="eastAsia"/>
          <w:b/>
          <w:bCs/>
          <w:sz w:val="24"/>
          <w:lang w:val="en-GB"/>
        </w:rPr>
        <w:t>2.2</w:t>
      </w:r>
      <w:r w:rsidRPr="00611BA8">
        <w:rPr>
          <w:rFonts w:eastAsia="楷体_GB2312" w:hint="eastAsia"/>
          <w:b/>
          <w:bCs/>
          <w:sz w:val="24"/>
          <w:lang w:val="en-GB"/>
        </w:rPr>
        <w:t>.</w:t>
      </w:r>
      <w:r>
        <w:rPr>
          <w:rFonts w:eastAsia="楷体_GB2312" w:hint="eastAsia"/>
          <w:b/>
          <w:bCs/>
          <w:sz w:val="24"/>
          <w:lang w:val="en-GB"/>
        </w:rPr>
        <w:t>8</w:t>
      </w:r>
      <w:r>
        <w:rPr>
          <w:rFonts w:eastAsia="楷体_GB2312" w:hint="eastAsia"/>
          <w:b/>
          <w:bCs/>
          <w:sz w:val="24"/>
          <w:lang w:val="en-GB"/>
        </w:rPr>
        <w:t>应用验证</w:t>
      </w:r>
    </w:p>
    <w:p w:rsidR="001B7C04" w:rsidRPr="001B7C04" w:rsidRDefault="001B7C04" w:rsidP="001B7C04">
      <w:pPr>
        <w:pStyle w:val="p15"/>
        <w:spacing w:line="360" w:lineRule="auto"/>
        <w:ind w:firstLineChars="200"/>
        <w:rPr>
          <w:rFonts w:asciiTheme="minorEastAsia" w:eastAsiaTheme="minorEastAsia" w:hAnsiTheme="minorEastAsia"/>
          <w:bCs/>
        </w:rPr>
      </w:pPr>
      <w:r>
        <w:rPr>
          <w:rFonts w:asciiTheme="minorEastAsia" w:eastAsiaTheme="minorEastAsia" w:hAnsiTheme="minorEastAsia" w:hint="eastAsia"/>
          <w:bCs/>
        </w:rPr>
        <w:t>我们采用国内某公司的胶体金快速定量产品对</w:t>
      </w:r>
      <w:r w:rsidRPr="001B7C04">
        <w:rPr>
          <w:rFonts w:asciiTheme="minorEastAsia" w:eastAsiaTheme="minorEastAsia" w:hAnsiTheme="minorEastAsia" w:hint="eastAsia"/>
          <w:bCs/>
        </w:rPr>
        <w:t>五份阳性小麦样品</w:t>
      </w:r>
      <w:r>
        <w:rPr>
          <w:rFonts w:asciiTheme="minorEastAsia" w:eastAsiaTheme="minorEastAsia" w:hAnsiTheme="minorEastAsia" w:hint="eastAsia"/>
          <w:bCs/>
        </w:rPr>
        <w:t>和</w:t>
      </w:r>
      <w:r w:rsidRPr="001B7C04">
        <w:rPr>
          <w:rFonts w:asciiTheme="minorEastAsia" w:eastAsiaTheme="minorEastAsia" w:hAnsiTheme="minorEastAsia" w:hint="eastAsia"/>
          <w:bCs/>
        </w:rPr>
        <w:t>一份阳性玉米样品</w:t>
      </w:r>
      <w:r>
        <w:rPr>
          <w:rFonts w:asciiTheme="minorEastAsia" w:eastAsiaTheme="minorEastAsia" w:hAnsiTheme="minorEastAsia" w:hint="eastAsia"/>
          <w:bCs/>
        </w:rPr>
        <w:t>进行了准确性和重复性应用验证。结果见表5和表6。从表5和表6可看出：快速法与国家标准方法比较，偏差在-6.4%～+18.3%之间；小麦和玉米重复性测定的变异数数分别为5.9%和6.4%，</w:t>
      </w:r>
      <w:r w:rsidR="00064B71">
        <w:rPr>
          <w:rFonts w:asciiTheme="minorEastAsia" w:eastAsiaTheme="minorEastAsia" w:hAnsiTheme="minorEastAsia" w:hint="eastAsia"/>
          <w:bCs/>
        </w:rPr>
        <w:t>满足本标准规范性附录A中</w:t>
      </w:r>
      <w:r w:rsidR="00064B71">
        <w:rPr>
          <w:rFonts w:hint="eastAsia"/>
        </w:rPr>
        <w:t>胶体金快速定量检测产品准确性和精密度性能评价要求。</w:t>
      </w:r>
    </w:p>
    <w:p w:rsidR="001B7C04" w:rsidRDefault="001B7C04" w:rsidP="001B7C04">
      <w:pPr>
        <w:spacing w:line="360" w:lineRule="auto"/>
        <w:jc w:val="center"/>
        <w:rPr>
          <w:rFonts w:eastAsia="楷体_GB2312"/>
          <w:b/>
          <w:bCs/>
          <w:sz w:val="24"/>
          <w:lang w:val="en-GB"/>
        </w:rPr>
      </w:pPr>
      <w:r>
        <w:rPr>
          <w:rFonts w:eastAsia="楷体_GB2312" w:hint="eastAsia"/>
          <w:b/>
          <w:bCs/>
          <w:sz w:val="24"/>
          <w:lang w:val="en-GB"/>
        </w:rPr>
        <w:t>表</w:t>
      </w:r>
      <w:r>
        <w:rPr>
          <w:rFonts w:eastAsia="楷体_GB2312" w:hint="eastAsia"/>
          <w:b/>
          <w:bCs/>
          <w:sz w:val="24"/>
          <w:lang w:val="en-GB"/>
        </w:rPr>
        <w:t xml:space="preserve">5 </w:t>
      </w:r>
      <w:r>
        <w:rPr>
          <w:rFonts w:eastAsia="楷体_GB2312" w:hint="eastAsia"/>
          <w:b/>
          <w:bCs/>
          <w:sz w:val="24"/>
          <w:lang w:val="en-GB"/>
        </w:rPr>
        <w:t>准确性验证</w:t>
      </w:r>
    </w:p>
    <w:tbl>
      <w:tblPr>
        <w:tblW w:w="7406" w:type="dxa"/>
        <w:tblInd w:w="845" w:type="dxa"/>
        <w:tblLook w:val="04A0"/>
      </w:tblPr>
      <w:tblGrid>
        <w:gridCol w:w="1465"/>
        <w:gridCol w:w="1465"/>
        <w:gridCol w:w="1318"/>
        <w:gridCol w:w="1612"/>
        <w:gridCol w:w="1546"/>
      </w:tblGrid>
      <w:tr w:rsidR="00B434C6" w:rsidRPr="00B434C6" w:rsidTr="001B7C04">
        <w:trPr>
          <w:trHeight w:val="501"/>
        </w:trPr>
        <w:tc>
          <w:tcPr>
            <w:tcW w:w="14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序号</w:t>
            </w:r>
          </w:p>
        </w:tc>
        <w:tc>
          <w:tcPr>
            <w:tcW w:w="14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粮种</w:t>
            </w:r>
          </w:p>
        </w:tc>
        <w:tc>
          <w:tcPr>
            <w:tcW w:w="2930" w:type="dxa"/>
            <w:gridSpan w:val="2"/>
            <w:tcBorders>
              <w:top w:val="single" w:sz="4" w:space="0" w:color="auto"/>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测定值μg/kg</w:t>
            </w:r>
          </w:p>
        </w:tc>
        <w:tc>
          <w:tcPr>
            <w:tcW w:w="15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偏差%</w:t>
            </w:r>
          </w:p>
        </w:tc>
      </w:tr>
      <w:tr w:rsidR="00B434C6" w:rsidRPr="00B434C6" w:rsidTr="001B7C04">
        <w:trPr>
          <w:trHeight w:val="501"/>
        </w:trPr>
        <w:tc>
          <w:tcPr>
            <w:tcW w:w="1465" w:type="dxa"/>
            <w:vMerge/>
            <w:tcBorders>
              <w:top w:val="single" w:sz="4" w:space="0" w:color="auto"/>
              <w:left w:val="single" w:sz="4" w:space="0" w:color="auto"/>
              <w:bottom w:val="single" w:sz="4" w:space="0" w:color="auto"/>
              <w:right w:val="single" w:sz="4" w:space="0" w:color="auto"/>
            </w:tcBorders>
            <w:vAlign w:val="center"/>
            <w:hideMark/>
          </w:tcPr>
          <w:p w:rsidR="00B434C6" w:rsidRPr="00B434C6" w:rsidRDefault="00B434C6" w:rsidP="00B434C6">
            <w:pPr>
              <w:widowControl/>
              <w:jc w:val="left"/>
              <w:rPr>
                <w:rFonts w:ascii="宋体" w:hAnsi="宋体" w:cs="宋体"/>
                <w:color w:val="000000"/>
                <w:kern w:val="0"/>
                <w:sz w:val="22"/>
                <w:szCs w:val="22"/>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rsidR="00B434C6" w:rsidRPr="00B434C6" w:rsidRDefault="00B434C6" w:rsidP="00B434C6">
            <w:pPr>
              <w:widowControl/>
              <w:jc w:val="left"/>
              <w:rPr>
                <w:rFonts w:ascii="宋体" w:hAnsi="宋体" w:cs="宋体"/>
                <w:color w:val="000000"/>
                <w:kern w:val="0"/>
                <w:sz w:val="22"/>
                <w:szCs w:val="22"/>
              </w:rPr>
            </w:pPr>
          </w:p>
        </w:tc>
        <w:tc>
          <w:tcPr>
            <w:tcW w:w="1318"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left"/>
              <w:rPr>
                <w:rFonts w:ascii="宋体" w:hAnsi="宋体" w:cs="宋体"/>
                <w:color w:val="000000"/>
                <w:kern w:val="0"/>
                <w:sz w:val="22"/>
                <w:szCs w:val="22"/>
              </w:rPr>
            </w:pPr>
            <w:r w:rsidRPr="00B434C6">
              <w:rPr>
                <w:rFonts w:ascii="宋体" w:hAnsi="宋体" w:cs="宋体" w:hint="eastAsia"/>
                <w:color w:val="000000"/>
                <w:kern w:val="0"/>
                <w:sz w:val="22"/>
                <w:szCs w:val="22"/>
              </w:rPr>
              <w:t>HPLC法</w:t>
            </w:r>
          </w:p>
        </w:tc>
        <w:tc>
          <w:tcPr>
            <w:tcW w:w="1612"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left"/>
              <w:rPr>
                <w:rFonts w:ascii="宋体" w:hAnsi="宋体" w:cs="宋体"/>
                <w:color w:val="000000"/>
                <w:kern w:val="0"/>
                <w:sz w:val="22"/>
                <w:szCs w:val="22"/>
              </w:rPr>
            </w:pPr>
            <w:r w:rsidRPr="00B434C6">
              <w:rPr>
                <w:rFonts w:ascii="宋体" w:hAnsi="宋体" w:cs="宋体" w:hint="eastAsia"/>
                <w:color w:val="000000"/>
                <w:kern w:val="0"/>
                <w:sz w:val="22"/>
                <w:szCs w:val="22"/>
              </w:rPr>
              <w:t>胶体金法</w:t>
            </w:r>
          </w:p>
        </w:tc>
        <w:tc>
          <w:tcPr>
            <w:tcW w:w="1546" w:type="dxa"/>
            <w:vMerge/>
            <w:tcBorders>
              <w:top w:val="single" w:sz="4" w:space="0" w:color="auto"/>
              <w:left w:val="single" w:sz="4" w:space="0" w:color="auto"/>
              <w:bottom w:val="single" w:sz="4" w:space="0" w:color="auto"/>
              <w:right w:val="single" w:sz="4" w:space="0" w:color="auto"/>
            </w:tcBorders>
            <w:vAlign w:val="center"/>
            <w:hideMark/>
          </w:tcPr>
          <w:p w:rsidR="00B434C6" w:rsidRPr="00B434C6" w:rsidRDefault="00B434C6" w:rsidP="00B434C6">
            <w:pPr>
              <w:widowControl/>
              <w:jc w:val="left"/>
              <w:rPr>
                <w:rFonts w:ascii="宋体" w:hAnsi="宋体" w:cs="宋体"/>
                <w:color w:val="000000"/>
                <w:kern w:val="0"/>
                <w:sz w:val="22"/>
                <w:szCs w:val="22"/>
              </w:rPr>
            </w:pPr>
          </w:p>
        </w:tc>
      </w:tr>
      <w:tr w:rsidR="00B434C6" w:rsidRPr="00B434C6" w:rsidTr="001B7C04">
        <w:trPr>
          <w:trHeight w:val="501"/>
        </w:trPr>
        <w:tc>
          <w:tcPr>
            <w:tcW w:w="1465" w:type="dxa"/>
            <w:tcBorders>
              <w:top w:val="nil"/>
              <w:left w:val="single" w:sz="4" w:space="0" w:color="auto"/>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1</w:t>
            </w:r>
          </w:p>
        </w:tc>
        <w:tc>
          <w:tcPr>
            <w:tcW w:w="14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小麦</w:t>
            </w:r>
          </w:p>
        </w:tc>
        <w:tc>
          <w:tcPr>
            <w:tcW w:w="1318"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1063.5</w:t>
            </w:r>
          </w:p>
        </w:tc>
        <w:tc>
          <w:tcPr>
            <w:tcW w:w="1612"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1083.0 </w:t>
            </w:r>
          </w:p>
        </w:tc>
        <w:tc>
          <w:tcPr>
            <w:tcW w:w="1546"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1.8 </w:t>
            </w:r>
          </w:p>
        </w:tc>
      </w:tr>
      <w:tr w:rsidR="00B434C6" w:rsidRPr="00B434C6" w:rsidTr="001B7C04">
        <w:trPr>
          <w:trHeight w:val="501"/>
        </w:trPr>
        <w:tc>
          <w:tcPr>
            <w:tcW w:w="1465" w:type="dxa"/>
            <w:tcBorders>
              <w:top w:val="nil"/>
              <w:left w:val="single" w:sz="4" w:space="0" w:color="auto"/>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2</w:t>
            </w:r>
          </w:p>
        </w:tc>
        <w:tc>
          <w:tcPr>
            <w:tcW w:w="1465" w:type="dxa"/>
            <w:vMerge/>
            <w:tcBorders>
              <w:top w:val="nil"/>
              <w:left w:val="single" w:sz="4" w:space="0" w:color="auto"/>
              <w:bottom w:val="single" w:sz="4" w:space="0" w:color="auto"/>
              <w:right w:val="single" w:sz="4" w:space="0" w:color="auto"/>
            </w:tcBorders>
            <w:vAlign w:val="center"/>
            <w:hideMark/>
          </w:tcPr>
          <w:p w:rsidR="00B434C6" w:rsidRPr="00B434C6" w:rsidRDefault="00B434C6" w:rsidP="00B434C6">
            <w:pPr>
              <w:widowControl/>
              <w:jc w:val="left"/>
              <w:rPr>
                <w:rFonts w:ascii="宋体" w:hAnsi="宋体" w:cs="宋体"/>
                <w:color w:val="000000"/>
                <w:kern w:val="0"/>
                <w:sz w:val="22"/>
                <w:szCs w:val="22"/>
              </w:rPr>
            </w:pPr>
          </w:p>
        </w:tc>
        <w:tc>
          <w:tcPr>
            <w:tcW w:w="1318"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1085</w:t>
            </w:r>
          </w:p>
        </w:tc>
        <w:tc>
          <w:tcPr>
            <w:tcW w:w="1612"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1111.0 </w:t>
            </w:r>
          </w:p>
        </w:tc>
        <w:tc>
          <w:tcPr>
            <w:tcW w:w="1546"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2.4 </w:t>
            </w:r>
          </w:p>
        </w:tc>
      </w:tr>
      <w:tr w:rsidR="00B434C6" w:rsidRPr="00B434C6" w:rsidTr="001B7C04">
        <w:trPr>
          <w:trHeight w:val="501"/>
        </w:trPr>
        <w:tc>
          <w:tcPr>
            <w:tcW w:w="1465" w:type="dxa"/>
            <w:tcBorders>
              <w:top w:val="nil"/>
              <w:left w:val="single" w:sz="4" w:space="0" w:color="auto"/>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3</w:t>
            </w:r>
          </w:p>
        </w:tc>
        <w:tc>
          <w:tcPr>
            <w:tcW w:w="1465" w:type="dxa"/>
            <w:vMerge/>
            <w:tcBorders>
              <w:top w:val="nil"/>
              <w:left w:val="single" w:sz="4" w:space="0" w:color="auto"/>
              <w:bottom w:val="single" w:sz="4" w:space="0" w:color="auto"/>
              <w:right w:val="single" w:sz="4" w:space="0" w:color="auto"/>
            </w:tcBorders>
            <w:vAlign w:val="center"/>
            <w:hideMark/>
          </w:tcPr>
          <w:p w:rsidR="00B434C6" w:rsidRPr="00B434C6" w:rsidRDefault="00B434C6" w:rsidP="00B434C6">
            <w:pPr>
              <w:widowControl/>
              <w:jc w:val="left"/>
              <w:rPr>
                <w:rFonts w:ascii="宋体" w:hAnsi="宋体" w:cs="宋体"/>
                <w:color w:val="000000"/>
                <w:kern w:val="0"/>
                <w:sz w:val="22"/>
                <w:szCs w:val="22"/>
              </w:rPr>
            </w:pPr>
          </w:p>
        </w:tc>
        <w:tc>
          <w:tcPr>
            <w:tcW w:w="1318"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1193.5</w:t>
            </w:r>
          </w:p>
        </w:tc>
        <w:tc>
          <w:tcPr>
            <w:tcW w:w="1612"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1116.9</w:t>
            </w:r>
          </w:p>
        </w:tc>
        <w:tc>
          <w:tcPr>
            <w:tcW w:w="1546"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-6.4 </w:t>
            </w:r>
          </w:p>
        </w:tc>
      </w:tr>
      <w:tr w:rsidR="00B434C6" w:rsidRPr="00B434C6" w:rsidTr="001B7C04">
        <w:trPr>
          <w:trHeight w:val="501"/>
        </w:trPr>
        <w:tc>
          <w:tcPr>
            <w:tcW w:w="1465" w:type="dxa"/>
            <w:tcBorders>
              <w:top w:val="nil"/>
              <w:left w:val="single" w:sz="4" w:space="0" w:color="auto"/>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4</w:t>
            </w:r>
          </w:p>
        </w:tc>
        <w:tc>
          <w:tcPr>
            <w:tcW w:w="1465" w:type="dxa"/>
            <w:vMerge/>
            <w:tcBorders>
              <w:top w:val="nil"/>
              <w:left w:val="single" w:sz="4" w:space="0" w:color="auto"/>
              <w:bottom w:val="single" w:sz="4" w:space="0" w:color="auto"/>
              <w:right w:val="single" w:sz="4" w:space="0" w:color="auto"/>
            </w:tcBorders>
            <w:vAlign w:val="center"/>
            <w:hideMark/>
          </w:tcPr>
          <w:p w:rsidR="00B434C6" w:rsidRPr="00B434C6" w:rsidRDefault="00B434C6" w:rsidP="00B434C6">
            <w:pPr>
              <w:widowControl/>
              <w:jc w:val="left"/>
              <w:rPr>
                <w:rFonts w:ascii="宋体" w:hAnsi="宋体" w:cs="宋体"/>
                <w:color w:val="000000"/>
                <w:kern w:val="0"/>
                <w:sz w:val="22"/>
                <w:szCs w:val="22"/>
              </w:rPr>
            </w:pPr>
          </w:p>
        </w:tc>
        <w:tc>
          <w:tcPr>
            <w:tcW w:w="1318"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1041</w:t>
            </w:r>
          </w:p>
        </w:tc>
        <w:tc>
          <w:tcPr>
            <w:tcW w:w="1612"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1231.1 </w:t>
            </w:r>
          </w:p>
        </w:tc>
        <w:tc>
          <w:tcPr>
            <w:tcW w:w="1546"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18.3 </w:t>
            </w:r>
          </w:p>
        </w:tc>
      </w:tr>
      <w:tr w:rsidR="00B434C6" w:rsidRPr="00B434C6" w:rsidTr="001B7C04">
        <w:trPr>
          <w:trHeight w:val="501"/>
        </w:trPr>
        <w:tc>
          <w:tcPr>
            <w:tcW w:w="1465" w:type="dxa"/>
            <w:tcBorders>
              <w:top w:val="nil"/>
              <w:left w:val="single" w:sz="4" w:space="0" w:color="auto"/>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5</w:t>
            </w:r>
          </w:p>
        </w:tc>
        <w:tc>
          <w:tcPr>
            <w:tcW w:w="1465" w:type="dxa"/>
            <w:vMerge/>
            <w:tcBorders>
              <w:top w:val="nil"/>
              <w:left w:val="single" w:sz="4" w:space="0" w:color="auto"/>
              <w:bottom w:val="single" w:sz="4" w:space="0" w:color="auto"/>
              <w:right w:val="single" w:sz="4" w:space="0" w:color="auto"/>
            </w:tcBorders>
            <w:vAlign w:val="center"/>
            <w:hideMark/>
          </w:tcPr>
          <w:p w:rsidR="00B434C6" w:rsidRPr="00B434C6" w:rsidRDefault="00B434C6" w:rsidP="00B434C6">
            <w:pPr>
              <w:widowControl/>
              <w:jc w:val="left"/>
              <w:rPr>
                <w:rFonts w:ascii="宋体" w:hAnsi="宋体" w:cs="宋体"/>
                <w:color w:val="000000"/>
                <w:kern w:val="0"/>
                <w:sz w:val="22"/>
                <w:szCs w:val="22"/>
              </w:rPr>
            </w:pPr>
          </w:p>
        </w:tc>
        <w:tc>
          <w:tcPr>
            <w:tcW w:w="1318"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214</w:t>
            </w:r>
          </w:p>
        </w:tc>
        <w:tc>
          <w:tcPr>
            <w:tcW w:w="1612"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234.5 </w:t>
            </w:r>
          </w:p>
        </w:tc>
        <w:tc>
          <w:tcPr>
            <w:tcW w:w="1546"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9.6 </w:t>
            </w:r>
          </w:p>
        </w:tc>
      </w:tr>
      <w:tr w:rsidR="00B434C6" w:rsidRPr="00B434C6" w:rsidTr="001B7C04">
        <w:trPr>
          <w:trHeight w:val="501"/>
        </w:trPr>
        <w:tc>
          <w:tcPr>
            <w:tcW w:w="1465" w:type="dxa"/>
            <w:tcBorders>
              <w:top w:val="nil"/>
              <w:left w:val="single" w:sz="4" w:space="0" w:color="auto"/>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6</w:t>
            </w:r>
          </w:p>
        </w:tc>
        <w:tc>
          <w:tcPr>
            <w:tcW w:w="1465"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玉米</w:t>
            </w:r>
          </w:p>
        </w:tc>
        <w:tc>
          <w:tcPr>
            <w:tcW w:w="1318"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624.7 </w:t>
            </w:r>
          </w:p>
        </w:tc>
        <w:tc>
          <w:tcPr>
            <w:tcW w:w="1612"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594.9 </w:t>
            </w:r>
          </w:p>
        </w:tc>
        <w:tc>
          <w:tcPr>
            <w:tcW w:w="1546" w:type="dxa"/>
            <w:tcBorders>
              <w:top w:val="nil"/>
              <w:left w:val="nil"/>
              <w:bottom w:val="single" w:sz="4" w:space="0" w:color="auto"/>
              <w:right w:val="single" w:sz="4" w:space="0" w:color="auto"/>
            </w:tcBorders>
            <w:shd w:val="clear" w:color="auto" w:fill="auto"/>
            <w:noWrap/>
            <w:vAlign w:val="center"/>
            <w:hideMark/>
          </w:tcPr>
          <w:p w:rsidR="00B434C6" w:rsidRPr="00B434C6" w:rsidRDefault="00B434C6" w:rsidP="00B434C6">
            <w:pPr>
              <w:widowControl/>
              <w:jc w:val="center"/>
              <w:rPr>
                <w:rFonts w:ascii="宋体" w:hAnsi="宋体" w:cs="宋体"/>
                <w:color w:val="000000"/>
                <w:kern w:val="0"/>
                <w:sz w:val="22"/>
                <w:szCs w:val="22"/>
              </w:rPr>
            </w:pPr>
            <w:r w:rsidRPr="00B434C6">
              <w:rPr>
                <w:rFonts w:ascii="宋体" w:hAnsi="宋体" w:cs="宋体" w:hint="eastAsia"/>
                <w:color w:val="000000"/>
                <w:kern w:val="0"/>
                <w:sz w:val="22"/>
                <w:szCs w:val="22"/>
              </w:rPr>
              <w:t xml:space="preserve">-4.8 </w:t>
            </w:r>
          </w:p>
        </w:tc>
      </w:tr>
    </w:tbl>
    <w:p w:rsidR="001B7C04" w:rsidRDefault="001B7C04" w:rsidP="001B7C04">
      <w:pPr>
        <w:spacing w:line="360" w:lineRule="auto"/>
        <w:jc w:val="center"/>
        <w:rPr>
          <w:rFonts w:eastAsia="楷体_GB2312"/>
          <w:b/>
          <w:bCs/>
          <w:sz w:val="24"/>
          <w:lang w:val="en-GB"/>
        </w:rPr>
      </w:pPr>
    </w:p>
    <w:p w:rsidR="00D6683C" w:rsidRDefault="001B7C04" w:rsidP="001B7C04">
      <w:pPr>
        <w:spacing w:line="360" w:lineRule="auto"/>
        <w:jc w:val="center"/>
        <w:rPr>
          <w:rFonts w:eastAsia="楷体_GB2312"/>
          <w:b/>
          <w:bCs/>
          <w:sz w:val="24"/>
          <w:lang w:val="en-GB"/>
        </w:rPr>
      </w:pPr>
      <w:r w:rsidRPr="001B7C04">
        <w:rPr>
          <w:rFonts w:eastAsia="楷体_GB2312" w:hint="eastAsia"/>
          <w:b/>
          <w:bCs/>
          <w:sz w:val="24"/>
          <w:lang w:val="en-GB"/>
        </w:rPr>
        <w:t>表</w:t>
      </w:r>
      <w:r w:rsidRPr="001B7C04">
        <w:rPr>
          <w:rFonts w:eastAsia="楷体_GB2312" w:hint="eastAsia"/>
          <w:b/>
          <w:bCs/>
          <w:sz w:val="24"/>
          <w:lang w:val="en-GB"/>
        </w:rPr>
        <w:t xml:space="preserve">6 </w:t>
      </w:r>
      <w:r w:rsidRPr="001B7C04">
        <w:rPr>
          <w:rFonts w:eastAsia="楷体_GB2312" w:hint="eastAsia"/>
          <w:b/>
          <w:bCs/>
          <w:sz w:val="24"/>
          <w:lang w:val="en-GB"/>
        </w:rPr>
        <w:t>重复性验证</w:t>
      </w:r>
    </w:p>
    <w:tbl>
      <w:tblPr>
        <w:tblW w:w="6270" w:type="dxa"/>
        <w:tblInd w:w="1415" w:type="dxa"/>
        <w:tblLook w:val="04A0"/>
      </w:tblPr>
      <w:tblGrid>
        <w:gridCol w:w="2657"/>
        <w:gridCol w:w="1881"/>
        <w:gridCol w:w="1732"/>
      </w:tblGrid>
      <w:tr w:rsidR="001B7C04" w:rsidRPr="001B7C04" w:rsidTr="001B7C04">
        <w:trPr>
          <w:trHeight w:val="511"/>
        </w:trPr>
        <w:tc>
          <w:tcPr>
            <w:tcW w:w="2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粮种</w:t>
            </w:r>
          </w:p>
        </w:tc>
        <w:tc>
          <w:tcPr>
            <w:tcW w:w="1881" w:type="dxa"/>
            <w:tcBorders>
              <w:top w:val="single" w:sz="4" w:space="0" w:color="auto"/>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小麦</w:t>
            </w:r>
          </w:p>
        </w:tc>
        <w:tc>
          <w:tcPr>
            <w:tcW w:w="1732" w:type="dxa"/>
            <w:tcBorders>
              <w:top w:val="single" w:sz="4" w:space="0" w:color="auto"/>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玉米</w:t>
            </w:r>
          </w:p>
        </w:tc>
      </w:tr>
      <w:tr w:rsidR="001B7C04" w:rsidRPr="001B7C04" w:rsidTr="001B7C04">
        <w:trPr>
          <w:trHeight w:val="511"/>
        </w:trPr>
        <w:tc>
          <w:tcPr>
            <w:tcW w:w="2657" w:type="dxa"/>
            <w:tcBorders>
              <w:top w:val="nil"/>
              <w:left w:val="single" w:sz="4" w:space="0" w:color="auto"/>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1</w:t>
            </w:r>
          </w:p>
        </w:tc>
        <w:tc>
          <w:tcPr>
            <w:tcW w:w="1881"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1126.7 </w:t>
            </w:r>
          </w:p>
        </w:tc>
        <w:tc>
          <w:tcPr>
            <w:tcW w:w="1732"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603.0 </w:t>
            </w:r>
          </w:p>
        </w:tc>
      </w:tr>
      <w:tr w:rsidR="001B7C04" w:rsidRPr="001B7C04" w:rsidTr="001B7C04">
        <w:trPr>
          <w:trHeight w:val="511"/>
        </w:trPr>
        <w:tc>
          <w:tcPr>
            <w:tcW w:w="2657" w:type="dxa"/>
            <w:tcBorders>
              <w:top w:val="nil"/>
              <w:left w:val="single" w:sz="4" w:space="0" w:color="auto"/>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2</w:t>
            </w:r>
          </w:p>
        </w:tc>
        <w:tc>
          <w:tcPr>
            <w:tcW w:w="1881"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1107.1 </w:t>
            </w:r>
          </w:p>
        </w:tc>
        <w:tc>
          <w:tcPr>
            <w:tcW w:w="1732"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586.9 </w:t>
            </w:r>
          </w:p>
        </w:tc>
      </w:tr>
      <w:tr w:rsidR="001B7C04" w:rsidRPr="001B7C04" w:rsidTr="001B7C04">
        <w:trPr>
          <w:trHeight w:val="511"/>
        </w:trPr>
        <w:tc>
          <w:tcPr>
            <w:tcW w:w="2657" w:type="dxa"/>
            <w:tcBorders>
              <w:top w:val="nil"/>
              <w:left w:val="single" w:sz="4" w:space="0" w:color="auto"/>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3</w:t>
            </w:r>
          </w:p>
        </w:tc>
        <w:tc>
          <w:tcPr>
            <w:tcW w:w="1881"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1278.3 </w:t>
            </w:r>
          </w:p>
        </w:tc>
        <w:tc>
          <w:tcPr>
            <w:tcW w:w="1732"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679.7 </w:t>
            </w:r>
          </w:p>
        </w:tc>
      </w:tr>
      <w:tr w:rsidR="001B7C04" w:rsidRPr="001B7C04" w:rsidTr="001B7C04">
        <w:trPr>
          <w:trHeight w:val="511"/>
        </w:trPr>
        <w:tc>
          <w:tcPr>
            <w:tcW w:w="2657" w:type="dxa"/>
            <w:tcBorders>
              <w:top w:val="nil"/>
              <w:left w:val="single" w:sz="4" w:space="0" w:color="auto"/>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4</w:t>
            </w:r>
          </w:p>
        </w:tc>
        <w:tc>
          <w:tcPr>
            <w:tcW w:w="1881"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1201.2 </w:t>
            </w:r>
          </w:p>
        </w:tc>
        <w:tc>
          <w:tcPr>
            <w:tcW w:w="1732"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581.8 </w:t>
            </w:r>
          </w:p>
        </w:tc>
      </w:tr>
      <w:tr w:rsidR="001B7C04" w:rsidRPr="001B7C04" w:rsidTr="001B7C04">
        <w:trPr>
          <w:trHeight w:val="511"/>
        </w:trPr>
        <w:tc>
          <w:tcPr>
            <w:tcW w:w="2657" w:type="dxa"/>
            <w:tcBorders>
              <w:top w:val="nil"/>
              <w:left w:val="single" w:sz="4" w:space="0" w:color="auto"/>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5</w:t>
            </w:r>
          </w:p>
        </w:tc>
        <w:tc>
          <w:tcPr>
            <w:tcW w:w="1881"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1261.9 </w:t>
            </w:r>
          </w:p>
        </w:tc>
        <w:tc>
          <w:tcPr>
            <w:tcW w:w="1732"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622.4 </w:t>
            </w:r>
          </w:p>
        </w:tc>
      </w:tr>
      <w:tr w:rsidR="001B7C04" w:rsidRPr="001B7C04" w:rsidTr="001B7C04">
        <w:trPr>
          <w:trHeight w:val="511"/>
        </w:trPr>
        <w:tc>
          <w:tcPr>
            <w:tcW w:w="2657" w:type="dxa"/>
            <w:tcBorders>
              <w:top w:val="nil"/>
              <w:left w:val="single" w:sz="4" w:space="0" w:color="auto"/>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6</w:t>
            </w:r>
          </w:p>
        </w:tc>
        <w:tc>
          <w:tcPr>
            <w:tcW w:w="1881"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1229.6 </w:t>
            </w:r>
          </w:p>
        </w:tc>
        <w:tc>
          <w:tcPr>
            <w:tcW w:w="1732"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574.8 </w:t>
            </w:r>
          </w:p>
        </w:tc>
      </w:tr>
      <w:tr w:rsidR="001B7C04" w:rsidRPr="001B7C04" w:rsidTr="001B7C04">
        <w:trPr>
          <w:trHeight w:val="511"/>
        </w:trPr>
        <w:tc>
          <w:tcPr>
            <w:tcW w:w="2657" w:type="dxa"/>
            <w:tcBorders>
              <w:top w:val="nil"/>
              <w:left w:val="single" w:sz="4" w:space="0" w:color="auto"/>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平均值μg/kg</w:t>
            </w:r>
          </w:p>
        </w:tc>
        <w:tc>
          <w:tcPr>
            <w:tcW w:w="1881"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1200.8 </w:t>
            </w:r>
          </w:p>
        </w:tc>
        <w:tc>
          <w:tcPr>
            <w:tcW w:w="1732"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608.1 </w:t>
            </w:r>
          </w:p>
        </w:tc>
      </w:tr>
      <w:tr w:rsidR="001B7C04" w:rsidRPr="001B7C04" w:rsidTr="001B7C04">
        <w:trPr>
          <w:trHeight w:val="511"/>
        </w:trPr>
        <w:tc>
          <w:tcPr>
            <w:tcW w:w="2657" w:type="dxa"/>
            <w:tcBorders>
              <w:top w:val="nil"/>
              <w:left w:val="single" w:sz="4" w:space="0" w:color="auto"/>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标准偏差</w:t>
            </w:r>
          </w:p>
        </w:tc>
        <w:tc>
          <w:tcPr>
            <w:tcW w:w="1881"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70.5 </w:t>
            </w:r>
          </w:p>
        </w:tc>
        <w:tc>
          <w:tcPr>
            <w:tcW w:w="1732"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39.0 </w:t>
            </w:r>
          </w:p>
        </w:tc>
      </w:tr>
      <w:tr w:rsidR="001B7C04" w:rsidRPr="001B7C04" w:rsidTr="001B7C04">
        <w:trPr>
          <w:trHeight w:val="511"/>
        </w:trPr>
        <w:tc>
          <w:tcPr>
            <w:tcW w:w="2657" w:type="dxa"/>
            <w:tcBorders>
              <w:top w:val="nil"/>
              <w:left w:val="single" w:sz="4" w:space="0" w:color="auto"/>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变异系数%</w:t>
            </w:r>
          </w:p>
        </w:tc>
        <w:tc>
          <w:tcPr>
            <w:tcW w:w="1881"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5.9 </w:t>
            </w:r>
          </w:p>
        </w:tc>
        <w:tc>
          <w:tcPr>
            <w:tcW w:w="1732" w:type="dxa"/>
            <w:tcBorders>
              <w:top w:val="nil"/>
              <w:left w:val="nil"/>
              <w:bottom w:val="single" w:sz="4" w:space="0" w:color="auto"/>
              <w:right w:val="single" w:sz="4" w:space="0" w:color="auto"/>
            </w:tcBorders>
            <w:shd w:val="clear" w:color="auto" w:fill="auto"/>
            <w:noWrap/>
            <w:vAlign w:val="center"/>
            <w:hideMark/>
          </w:tcPr>
          <w:p w:rsidR="001B7C04" w:rsidRPr="001B7C04" w:rsidRDefault="001B7C04" w:rsidP="001B7C04">
            <w:pPr>
              <w:widowControl/>
              <w:jc w:val="center"/>
              <w:rPr>
                <w:rFonts w:ascii="宋体" w:hAnsi="宋体" w:cs="宋体"/>
                <w:color w:val="000000"/>
                <w:kern w:val="0"/>
                <w:sz w:val="22"/>
                <w:szCs w:val="22"/>
              </w:rPr>
            </w:pPr>
            <w:r w:rsidRPr="001B7C04">
              <w:rPr>
                <w:rFonts w:ascii="宋体" w:hAnsi="宋体" w:cs="宋体" w:hint="eastAsia"/>
                <w:color w:val="000000"/>
                <w:kern w:val="0"/>
                <w:sz w:val="22"/>
                <w:szCs w:val="22"/>
              </w:rPr>
              <w:t xml:space="preserve">6.4 </w:t>
            </w:r>
          </w:p>
        </w:tc>
      </w:tr>
    </w:tbl>
    <w:p w:rsidR="001B7C04" w:rsidRPr="001B7C04" w:rsidRDefault="001B7C04" w:rsidP="001B7C04">
      <w:pPr>
        <w:spacing w:line="360" w:lineRule="auto"/>
        <w:jc w:val="center"/>
        <w:rPr>
          <w:rFonts w:eastAsia="楷体_GB2312"/>
          <w:b/>
          <w:bCs/>
          <w:sz w:val="24"/>
          <w:lang w:val="en-GB"/>
        </w:rPr>
      </w:pPr>
    </w:p>
    <w:p w:rsidR="009006E2" w:rsidRPr="000C59B5" w:rsidRDefault="009006E2" w:rsidP="009006E2">
      <w:pPr>
        <w:spacing w:line="360" w:lineRule="auto"/>
        <w:rPr>
          <w:rFonts w:eastAsia="楷体_GB2312"/>
          <w:b/>
          <w:bCs/>
          <w:sz w:val="24"/>
          <w:lang w:val="en-GB"/>
        </w:rPr>
      </w:pPr>
      <w:r w:rsidRPr="000C59B5">
        <w:rPr>
          <w:rFonts w:eastAsia="楷体_GB2312" w:hint="eastAsia"/>
          <w:b/>
          <w:bCs/>
          <w:sz w:val="24"/>
          <w:lang w:val="en-GB"/>
        </w:rPr>
        <w:t>3</w:t>
      </w:r>
      <w:r w:rsidRPr="000C59B5">
        <w:rPr>
          <w:rFonts w:eastAsia="楷体_GB2312"/>
          <w:b/>
          <w:bCs/>
          <w:sz w:val="24"/>
          <w:lang w:val="en-GB"/>
        </w:rPr>
        <w:t>采用国际标准和国外先进标准的情况，以及与国际、国外同类标准水平的对比，或者与测试的国外样品、样机的有关数据对比情况</w:t>
      </w:r>
    </w:p>
    <w:p w:rsidR="00222759" w:rsidRDefault="009006E2" w:rsidP="00222759">
      <w:pPr>
        <w:pStyle w:val="p15"/>
        <w:spacing w:line="360" w:lineRule="auto"/>
        <w:ind w:firstLineChars="200"/>
      </w:pPr>
      <w:r w:rsidRPr="000C59B5">
        <w:rPr>
          <w:rFonts w:hint="eastAsia"/>
        </w:rPr>
        <w:t>本方法的检出限为</w:t>
      </w:r>
      <w:r w:rsidR="00632683">
        <w:rPr>
          <w:rFonts w:hint="eastAsia"/>
        </w:rPr>
        <w:t>118ng/g</w:t>
      </w:r>
      <w:r w:rsidRPr="000C59B5">
        <w:rPr>
          <w:rFonts w:hint="eastAsia"/>
        </w:rPr>
        <w:t>，定量下限为</w:t>
      </w:r>
      <w:r w:rsidR="003934A3">
        <w:rPr>
          <w:rFonts w:hint="eastAsia"/>
        </w:rPr>
        <w:t>316ng/g</w:t>
      </w:r>
      <w:r w:rsidRPr="000C59B5">
        <w:rPr>
          <w:rFonts w:hint="eastAsia"/>
        </w:rPr>
        <w:t>，具有较高的精密度、</w:t>
      </w:r>
      <w:r w:rsidR="003934A3">
        <w:rPr>
          <w:rFonts w:hint="eastAsia"/>
        </w:rPr>
        <w:t>准确性和特异性</w:t>
      </w:r>
      <w:r w:rsidRPr="000C59B5">
        <w:rPr>
          <w:rFonts w:hint="eastAsia"/>
        </w:rPr>
        <w:t>；</w:t>
      </w:r>
      <w:r w:rsidR="00222759" w:rsidRPr="00222759">
        <w:rPr>
          <w:rFonts w:hint="eastAsia"/>
        </w:rPr>
        <w:t>通过简单的样品前处理，</w:t>
      </w:r>
      <w:r w:rsidR="00222759" w:rsidRPr="00222759">
        <w:rPr>
          <w:rFonts w:asciiTheme="minorEastAsia" w:eastAsiaTheme="minorEastAsia" w:hAnsiTheme="minorEastAsia" w:hint="eastAsia"/>
          <w:bCs/>
        </w:rPr>
        <w:t>测试</w:t>
      </w:r>
      <w:r w:rsidR="00222759" w:rsidRPr="00222759">
        <w:rPr>
          <w:rFonts w:hint="eastAsia"/>
        </w:rPr>
        <w:t>条点样、孵育器孵育、读数仪读数这几个步骤，15min之内就能完成一个样品的测定，方法要求条件低，操作简单。</w:t>
      </w:r>
      <w:r w:rsidR="00222759">
        <w:rPr>
          <w:rFonts w:hint="eastAsia"/>
        </w:rPr>
        <w:t>实验结果</w:t>
      </w:r>
      <w:r w:rsidRPr="000C59B5">
        <w:rPr>
          <w:rFonts w:hint="eastAsia"/>
        </w:rPr>
        <w:t>表明，</w:t>
      </w:r>
      <w:r w:rsidR="00222759" w:rsidRPr="00222759">
        <w:rPr>
          <w:rFonts w:hint="eastAsia"/>
        </w:rPr>
        <w:t>均能满足粮食中</w:t>
      </w:r>
      <w:r w:rsidR="00222759">
        <w:rPr>
          <w:rFonts w:hint="eastAsia"/>
        </w:rPr>
        <w:t>脱氧雪腐镰刀菌烯醇</w:t>
      </w:r>
      <w:r w:rsidR="00222759" w:rsidRPr="00222759">
        <w:rPr>
          <w:rFonts w:hint="eastAsia"/>
        </w:rPr>
        <w:t>测定的要求，易于推广应用。</w:t>
      </w:r>
      <w:bookmarkStart w:id="2" w:name="_GoBack"/>
      <w:bookmarkEnd w:id="2"/>
    </w:p>
    <w:p w:rsidR="009006E2" w:rsidRPr="000C59B5" w:rsidRDefault="009006E2" w:rsidP="009006E2">
      <w:pPr>
        <w:spacing w:line="360" w:lineRule="auto"/>
        <w:rPr>
          <w:rFonts w:eastAsia="楷体_GB2312"/>
          <w:b/>
          <w:bCs/>
          <w:sz w:val="24"/>
          <w:lang w:val="en-GB"/>
        </w:rPr>
      </w:pPr>
      <w:r w:rsidRPr="000C59B5">
        <w:rPr>
          <w:rFonts w:eastAsia="楷体_GB2312" w:hint="eastAsia"/>
          <w:b/>
          <w:bCs/>
          <w:sz w:val="24"/>
          <w:lang w:val="en-GB"/>
        </w:rPr>
        <w:t xml:space="preserve">4 </w:t>
      </w:r>
      <w:r w:rsidRPr="000C59B5">
        <w:rPr>
          <w:rFonts w:eastAsia="楷体_GB2312"/>
          <w:b/>
          <w:bCs/>
          <w:sz w:val="24"/>
          <w:lang w:val="en-GB"/>
        </w:rPr>
        <w:t>与有关的现行法律、法规和强制性国家标准、行业标准的关系</w:t>
      </w:r>
    </w:p>
    <w:p w:rsidR="009006E2" w:rsidRPr="000C59B5" w:rsidRDefault="009006E2" w:rsidP="009006E2">
      <w:pPr>
        <w:spacing w:line="360" w:lineRule="auto"/>
        <w:ind w:firstLineChars="200" w:firstLine="420"/>
        <w:rPr>
          <w:szCs w:val="21"/>
          <w:lang w:val="en-GB"/>
        </w:rPr>
      </w:pPr>
      <w:r w:rsidRPr="000C59B5">
        <w:rPr>
          <w:rFonts w:hint="eastAsia"/>
          <w:szCs w:val="21"/>
          <w:lang w:val="en-GB"/>
        </w:rPr>
        <w:t>本标准颁布实施后，针对粮食中脱氧雪腐镰刀菌烯醇的测定，</w:t>
      </w:r>
      <w:r w:rsidRPr="000C59B5">
        <w:rPr>
          <w:szCs w:val="21"/>
          <w:lang w:val="en-GB"/>
        </w:rPr>
        <w:t>符合现行的法律法规和强制性（国家、行业、地方）标准要求。</w:t>
      </w:r>
    </w:p>
    <w:p w:rsidR="009006E2" w:rsidRPr="000C59B5" w:rsidRDefault="009006E2" w:rsidP="009006E2">
      <w:pPr>
        <w:spacing w:line="360" w:lineRule="auto"/>
        <w:rPr>
          <w:rFonts w:eastAsia="楷体_GB2312"/>
          <w:b/>
          <w:bCs/>
          <w:sz w:val="24"/>
          <w:lang w:val="en-GB"/>
        </w:rPr>
      </w:pPr>
      <w:r w:rsidRPr="000C59B5">
        <w:rPr>
          <w:rFonts w:eastAsia="楷体_GB2312" w:hint="eastAsia"/>
          <w:b/>
          <w:bCs/>
          <w:sz w:val="24"/>
          <w:lang w:val="en-GB"/>
        </w:rPr>
        <w:t xml:space="preserve">5 </w:t>
      </w:r>
      <w:r w:rsidRPr="000C59B5">
        <w:rPr>
          <w:rFonts w:eastAsia="楷体_GB2312"/>
          <w:b/>
          <w:bCs/>
          <w:sz w:val="24"/>
          <w:lang w:val="en-GB"/>
        </w:rPr>
        <w:t>重大分歧意见的处理经过和依据</w:t>
      </w:r>
    </w:p>
    <w:p w:rsidR="009006E2" w:rsidRPr="000C59B5" w:rsidRDefault="009006E2" w:rsidP="009006E2">
      <w:pPr>
        <w:spacing w:line="360" w:lineRule="auto"/>
        <w:rPr>
          <w:szCs w:val="21"/>
          <w:lang w:val="en-GB"/>
        </w:rPr>
      </w:pPr>
      <w:r w:rsidRPr="000C59B5">
        <w:rPr>
          <w:rFonts w:hint="eastAsia"/>
          <w:szCs w:val="21"/>
          <w:lang w:val="en-GB"/>
        </w:rPr>
        <w:t>无。</w:t>
      </w:r>
    </w:p>
    <w:p w:rsidR="009006E2" w:rsidRPr="000C59B5" w:rsidRDefault="009006E2" w:rsidP="009006E2">
      <w:pPr>
        <w:spacing w:line="360" w:lineRule="auto"/>
        <w:rPr>
          <w:rFonts w:eastAsia="楷体_GB2312"/>
          <w:b/>
          <w:bCs/>
          <w:sz w:val="24"/>
          <w:lang w:val="en-GB"/>
        </w:rPr>
      </w:pPr>
      <w:r w:rsidRPr="000C59B5">
        <w:rPr>
          <w:rFonts w:eastAsia="楷体_GB2312" w:hint="eastAsia"/>
          <w:b/>
          <w:bCs/>
          <w:sz w:val="24"/>
          <w:lang w:val="en-GB"/>
        </w:rPr>
        <w:t xml:space="preserve">6 </w:t>
      </w:r>
      <w:r w:rsidRPr="000C59B5">
        <w:rPr>
          <w:rFonts w:eastAsia="楷体_GB2312"/>
          <w:b/>
          <w:bCs/>
          <w:sz w:val="24"/>
          <w:lang w:val="en-GB"/>
        </w:rPr>
        <w:t>按照标准化法的有关规定，提出强制性标准或推荐性标准的建议</w:t>
      </w:r>
    </w:p>
    <w:p w:rsidR="009006E2" w:rsidRPr="000C59B5" w:rsidRDefault="009006E2" w:rsidP="009006E2">
      <w:pPr>
        <w:spacing w:line="360" w:lineRule="auto"/>
        <w:ind w:firstLineChars="200" w:firstLine="420"/>
        <w:rPr>
          <w:szCs w:val="21"/>
          <w:lang w:val="en-GB"/>
        </w:rPr>
      </w:pPr>
      <w:r w:rsidRPr="000C59B5">
        <w:rPr>
          <w:szCs w:val="21"/>
          <w:lang w:val="en-GB"/>
        </w:rPr>
        <w:t>建议将本标准列为推荐性</w:t>
      </w:r>
      <w:r w:rsidRPr="000C59B5">
        <w:rPr>
          <w:rFonts w:hint="eastAsia"/>
          <w:szCs w:val="21"/>
          <w:lang w:val="en-GB"/>
        </w:rPr>
        <w:t>行业</w:t>
      </w:r>
      <w:r w:rsidRPr="000C59B5">
        <w:rPr>
          <w:szCs w:val="21"/>
          <w:lang w:val="en-GB"/>
        </w:rPr>
        <w:t>标准。</w:t>
      </w:r>
    </w:p>
    <w:p w:rsidR="009006E2" w:rsidRPr="000C59B5" w:rsidRDefault="009006E2" w:rsidP="009006E2">
      <w:pPr>
        <w:spacing w:line="360" w:lineRule="auto"/>
        <w:rPr>
          <w:rFonts w:eastAsia="楷体_GB2312"/>
          <w:b/>
          <w:bCs/>
          <w:sz w:val="24"/>
          <w:lang w:val="en-GB"/>
        </w:rPr>
      </w:pPr>
      <w:r w:rsidRPr="000C59B5">
        <w:rPr>
          <w:rFonts w:eastAsia="楷体_GB2312" w:hint="eastAsia"/>
          <w:b/>
          <w:bCs/>
          <w:sz w:val="24"/>
          <w:lang w:val="en-GB"/>
        </w:rPr>
        <w:t xml:space="preserve">7 </w:t>
      </w:r>
      <w:r w:rsidRPr="000C59B5">
        <w:rPr>
          <w:rFonts w:eastAsia="楷体_GB2312"/>
          <w:b/>
          <w:bCs/>
          <w:sz w:val="24"/>
          <w:lang w:val="en-GB"/>
        </w:rPr>
        <w:t>废止现行有关标准的建议</w:t>
      </w:r>
    </w:p>
    <w:p w:rsidR="009006E2" w:rsidRPr="000C59B5" w:rsidRDefault="009006E2" w:rsidP="007B18FE">
      <w:pPr>
        <w:spacing w:line="360" w:lineRule="auto"/>
        <w:ind w:firstLineChars="150" w:firstLine="315"/>
        <w:rPr>
          <w:b/>
          <w:bCs/>
          <w:szCs w:val="21"/>
        </w:rPr>
      </w:pPr>
      <w:r w:rsidRPr="000C59B5">
        <w:rPr>
          <w:rFonts w:hint="eastAsia"/>
          <w:szCs w:val="21"/>
        </w:rPr>
        <w:t>无</w:t>
      </w:r>
    </w:p>
    <w:p w:rsidR="009006E2" w:rsidRPr="000C59B5" w:rsidRDefault="009006E2" w:rsidP="009006E2">
      <w:pPr>
        <w:spacing w:line="360" w:lineRule="auto"/>
        <w:rPr>
          <w:rFonts w:eastAsia="楷体_GB2312"/>
          <w:b/>
          <w:bCs/>
          <w:sz w:val="24"/>
          <w:lang w:val="en-GB"/>
        </w:rPr>
      </w:pPr>
      <w:r w:rsidRPr="000C59B5">
        <w:rPr>
          <w:rFonts w:eastAsia="楷体_GB2312" w:hint="eastAsia"/>
          <w:b/>
          <w:bCs/>
          <w:sz w:val="24"/>
          <w:lang w:val="en-GB"/>
        </w:rPr>
        <w:lastRenderedPageBreak/>
        <w:t xml:space="preserve">8 </w:t>
      </w:r>
      <w:r w:rsidRPr="000C59B5">
        <w:rPr>
          <w:rFonts w:eastAsia="楷体_GB2312"/>
          <w:b/>
          <w:bCs/>
          <w:sz w:val="24"/>
          <w:lang w:val="en-GB"/>
        </w:rPr>
        <w:t>其他应予说明的事项</w:t>
      </w:r>
    </w:p>
    <w:p w:rsidR="009006E2" w:rsidRPr="000C59B5" w:rsidRDefault="004271B7" w:rsidP="009006E2">
      <w:pPr>
        <w:autoSpaceDE w:val="0"/>
        <w:autoSpaceDN w:val="0"/>
        <w:adjustRightInd w:val="0"/>
        <w:spacing w:line="360" w:lineRule="auto"/>
        <w:ind w:firstLineChars="200" w:firstLine="420"/>
        <w:jc w:val="left"/>
        <w:rPr>
          <w:bCs/>
          <w:szCs w:val="21"/>
        </w:rPr>
      </w:pPr>
      <w:r>
        <w:rPr>
          <w:rFonts w:hint="eastAsia"/>
          <w:bCs/>
          <w:szCs w:val="21"/>
        </w:rPr>
        <w:t>无</w:t>
      </w:r>
    </w:p>
    <w:p w:rsidR="009006E2" w:rsidRPr="000C59B5" w:rsidRDefault="009006E2" w:rsidP="009006E2">
      <w:pPr>
        <w:spacing w:line="360" w:lineRule="auto"/>
        <w:rPr>
          <w:rFonts w:eastAsia="楷体_GB2312"/>
          <w:b/>
          <w:bCs/>
          <w:sz w:val="24"/>
          <w:lang w:val="en-GB"/>
        </w:rPr>
      </w:pPr>
      <w:r w:rsidRPr="000C59B5">
        <w:rPr>
          <w:rFonts w:eastAsia="楷体_GB2312" w:hint="eastAsia"/>
          <w:b/>
          <w:bCs/>
          <w:sz w:val="24"/>
          <w:lang w:val="en-GB"/>
        </w:rPr>
        <w:t xml:space="preserve">9 </w:t>
      </w:r>
      <w:r w:rsidRPr="000C59B5">
        <w:rPr>
          <w:rFonts w:eastAsia="楷体_GB2312" w:hint="eastAsia"/>
          <w:b/>
          <w:bCs/>
          <w:sz w:val="24"/>
          <w:lang w:val="en-GB"/>
        </w:rPr>
        <w:t>参考文献</w:t>
      </w:r>
    </w:p>
    <w:p w:rsidR="00494F04" w:rsidRPr="00494F04" w:rsidRDefault="00494F04" w:rsidP="00494F04">
      <w:pPr>
        <w:spacing w:line="240" w:lineRule="atLeast"/>
        <w:rPr>
          <w:bCs/>
          <w:szCs w:val="21"/>
        </w:rPr>
      </w:pPr>
      <w:r w:rsidRPr="00494F04">
        <w:rPr>
          <w:bCs/>
          <w:szCs w:val="21"/>
        </w:rPr>
        <w:t>[1] Ruiz M J</w:t>
      </w:r>
      <w:r w:rsidRPr="00494F04">
        <w:rPr>
          <w:rFonts w:hint="eastAsia"/>
          <w:bCs/>
          <w:szCs w:val="21"/>
        </w:rPr>
        <w:t>,</w:t>
      </w:r>
      <w:r w:rsidRPr="00494F04">
        <w:rPr>
          <w:bCs/>
          <w:szCs w:val="21"/>
        </w:rPr>
        <w:t>FranzovaP</w:t>
      </w:r>
      <w:r w:rsidRPr="00494F04">
        <w:rPr>
          <w:rFonts w:hint="eastAsia"/>
          <w:bCs/>
          <w:szCs w:val="21"/>
        </w:rPr>
        <w:t>,</w:t>
      </w:r>
      <w:r w:rsidRPr="00494F04">
        <w:rPr>
          <w:bCs/>
          <w:szCs w:val="21"/>
        </w:rPr>
        <w:t>Juan-GarcíaA</w:t>
      </w:r>
      <w:r w:rsidRPr="00494F04">
        <w:rPr>
          <w:rFonts w:hint="eastAsia"/>
          <w:bCs/>
          <w:szCs w:val="21"/>
        </w:rPr>
        <w:t>,et al.</w:t>
      </w:r>
      <w:r w:rsidRPr="00494F04">
        <w:rPr>
          <w:bCs/>
          <w:szCs w:val="21"/>
        </w:rPr>
        <w:t xml:space="preserve"> Toxicological interactions between the mycotoxinsbeauvericin,deoxynivalenoland T-2 toxin in CHO-K1 cells in vitro</w:t>
      </w:r>
      <w:r w:rsidRPr="00494F04">
        <w:rPr>
          <w:rFonts w:hint="eastAsia"/>
          <w:bCs/>
          <w:szCs w:val="21"/>
        </w:rPr>
        <w:t xml:space="preserve">[J]. </w:t>
      </w:r>
      <w:r w:rsidRPr="00494F04">
        <w:rPr>
          <w:bCs/>
          <w:szCs w:val="21"/>
        </w:rPr>
        <w:t>Toxicon</w:t>
      </w:r>
      <w:r w:rsidRPr="00494F04">
        <w:rPr>
          <w:rFonts w:hint="eastAsia"/>
          <w:bCs/>
          <w:szCs w:val="21"/>
        </w:rPr>
        <w:t>,</w:t>
      </w:r>
      <w:r w:rsidRPr="00494F04">
        <w:rPr>
          <w:bCs/>
          <w:szCs w:val="21"/>
        </w:rPr>
        <w:t xml:space="preserve"> 2011</w:t>
      </w:r>
      <w:r w:rsidRPr="00494F04">
        <w:rPr>
          <w:rFonts w:hint="eastAsia"/>
          <w:bCs/>
          <w:szCs w:val="21"/>
        </w:rPr>
        <w:t>,58</w:t>
      </w:r>
      <w:r w:rsidRPr="00494F04">
        <w:rPr>
          <w:bCs/>
          <w:szCs w:val="21"/>
        </w:rPr>
        <w:t>(4)</w:t>
      </w:r>
      <w:r w:rsidRPr="00494F04">
        <w:rPr>
          <w:rFonts w:hint="eastAsia"/>
          <w:bCs/>
          <w:szCs w:val="21"/>
        </w:rPr>
        <w:t>:315-326.</w:t>
      </w:r>
    </w:p>
    <w:p w:rsidR="00494F04" w:rsidRPr="00494F04" w:rsidRDefault="00494F04" w:rsidP="00494F04">
      <w:pPr>
        <w:spacing w:line="240" w:lineRule="atLeast"/>
        <w:rPr>
          <w:bCs/>
          <w:szCs w:val="21"/>
        </w:rPr>
      </w:pPr>
      <w:r w:rsidRPr="00494F04">
        <w:rPr>
          <w:bCs/>
          <w:szCs w:val="21"/>
        </w:rPr>
        <w:t xml:space="preserve">[2] </w:t>
      </w:r>
      <w:r w:rsidRPr="00494F04">
        <w:rPr>
          <w:bCs/>
          <w:szCs w:val="21"/>
        </w:rPr>
        <w:t>鲍淑青</w:t>
      </w:r>
      <w:r w:rsidRPr="00494F04">
        <w:rPr>
          <w:rFonts w:hint="eastAsia"/>
          <w:bCs/>
          <w:szCs w:val="21"/>
        </w:rPr>
        <w:t>,</w:t>
      </w:r>
      <w:r w:rsidRPr="00494F04">
        <w:rPr>
          <w:bCs/>
          <w:szCs w:val="21"/>
        </w:rPr>
        <w:t>张克英</w:t>
      </w:r>
      <w:r w:rsidRPr="00494F04">
        <w:rPr>
          <w:rFonts w:hint="eastAsia"/>
          <w:bCs/>
          <w:szCs w:val="21"/>
        </w:rPr>
        <w:t>,</w:t>
      </w:r>
      <w:r w:rsidRPr="00494F04">
        <w:rPr>
          <w:bCs/>
          <w:szCs w:val="21"/>
        </w:rPr>
        <w:t>陈海军</w:t>
      </w:r>
      <w:r w:rsidRPr="00494F04">
        <w:rPr>
          <w:rFonts w:hint="eastAsia"/>
          <w:bCs/>
          <w:szCs w:val="21"/>
        </w:rPr>
        <w:t xml:space="preserve">. </w:t>
      </w:r>
      <w:r w:rsidRPr="00494F04">
        <w:rPr>
          <w:bCs/>
          <w:szCs w:val="21"/>
        </w:rPr>
        <w:t>饲料中呕吐毒素的危害与防治</w:t>
      </w:r>
      <w:r w:rsidRPr="00494F04">
        <w:rPr>
          <w:rFonts w:hint="eastAsia"/>
          <w:bCs/>
          <w:szCs w:val="21"/>
        </w:rPr>
        <w:t>[J].</w:t>
      </w:r>
      <w:r w:rsidRPr="00494F04">
        <w:rPr>
          <w:rFonts w:hint="eastAsia"/>
          <w:bCs/>
          <w:szCs w:val="21"/>
        </w:rPr>
        <w:t>中国饲料</w:t>
      </w:r>
      <w:r w:rsidRPr="00494F04">
        <w:rPr>
          <w:rFonts w:hint="eastAsia"/>
          <w:bCs/>
          <w:szCs w:val="21"/>
        </w:rPr>
        <w:t>,</w:t>
      </w:r>
      <w:r w:rsidRPr="00494F04">
        <w:rPr>
          <w:bCs/>
          <w:szCs w:val="21"/>
        </w:rPr>
        <w:t>2007</w:t>
      </w:r>
      <w:r w:rsidRPr="00494F04">
        <w:rPr>
          <w:rFonts w:hint="eastAsia"/>
          <w:bCs/>
          <w:szCs w:val="21"/>
        </w:rPr>
        <w:t>(17):34-36.</w:t>
      </w:r>
    </w:p>
    <w:p w:rsidR="00494F04" w:rsidRPr="00494F04" w:rsidRDefault="00494F04" w:rsidP="00494F04">
      <w:pPr>
        <w:spacing w:line="240" w:lineRule="atLeast"/>
        <w:rPr>
          <w:bCs/>
          <w:szCs w:val="21"/>
        </w:rPr>
      </w:pPr>
      <w:r w:rsidRPr="00494F04">
        <w:rPr>
          <w:bCs/>
          <w:szCs w:val="21"/>
        </w:rPr>
        <w:t>[3] Sato I</w:t>
      </w:r>
      <w:r w:rsidRPr="00494F04">
        <w:rPr>
          <w:rFonts w:hint="eastAsia"/>
          <w:bCs/>
          <w:szCs w:val="21"/>
        </w:rPr>
        <w:t>,</w:t>
      </w:r>
      <w:r w:rsidRPr="00494F04">
        <w:rPr>
          <w:bCs/>
          <w:szCs w:val="21"/>
        </w:rPr>
        <w:t>ItoM</w:t>
      </w:r>
      <w:r w:rsidRPr="00494F04">
        <w:rPr>
          <w:rFonts w:hint="eastAsia"/>
          <w:bCs/>
          <w:szCs w:val="21"/>
        </w:rPr>
        <w:t>,</w:t>
      </w:r>
      <w:r w:rsidRPr="00494F04">
        <w:rPr>
          <w:bCs/>
          <w:szCs w:val="21"/>
        </w:rPr>
        <w:t>IshizakaM</w:t>
      </w:r>
      <w:r w:rsidRPr="00494F04">
        <w:rPr>
          <w:rFonts w:hint="eastAsia"/>
          <w:bCs/>
          <w:szCs w:val="21"/>
        </w:rPr>
        <w:t>,et al.</w:t>
      </w:r>
      <w:r w:rsidRPr="00494F04">
        <w:rPr>
          <w:bCs/>
          <w:szCs w:val="21"/>
        </w:rPr>
        <w:t xml:space="preserve"> Thirteen novel deoxynivalenol-degrading bacteria are classified within two genera with distinct degradation mechanisms</w:t>
      </w:r>
      <w:r w:rsidRPr="00494F04">
        <w:rPr>
          <w:rFonts w:hint="eastAsia"/>
          <w:bCs/>
          <w:szCs w:val="21"/>
        </w:rPr>
        <w:t>[J]</w:t>
      </w:r>
      <w:r w:rsidRPr="00494F04">
        <w:rPr>
          <w:bCs/>
          <w:szCs w:val="21"/>
        </w:rPr>
        <w:t>. FEMS Microbiol Lett</w:t>
      </w:r>
      <w:r w:rsidRPr="00494F04">
        <w:rPr>
          <w:rFonts w:hint="eastAsia"/>
          <w:bCs/>
          <w:szCs w:val="21"/>
        </w:rPr>
        <w:t>,</w:t>
      </w:r>
      <w:r w:rsidRPr="00494F04">
        <w:rPr>
          <w:bCs/>
          <w:szCs w:val="21"/>
        </w:rPr>
        <w:t>2012</w:t>
      </w:r>
      <w:r w:rsidRPr="00494F04">
        <w:rPr>
          <w:rFonts w:hint="eastAsia"/>
          <w:bCs/>
          <w:szCs w:val="21"/>
        </w:rPr>
        <w:t>,327</w:t>
      </w:r>
      <w:r w:rsidRPr="00494F04">
        <w:rPr>
          <w:bCs/>
          <w:szCs w:val="21"/>
        </w:rPr>
        <w:t>(2)</w:t>
      </w:r>
      <w:r w:rsidRPr="00494F04">
        <w:rPr>
          <w:rFonts w:hint="eastAsia"/>
          <w:bCs/>
          <w:szCs w:val="21"/>
        </w:rPr>
        <w:t>:110-117.</w:t>
      </w:r>
    </w:p>
    <w:p w:rsidR="00494F04" w:rsidRPr="00494F04" w:rsidRDefault="00494F04" w:rsidP="00494F04">
      <w:pPr>
        <w:spacing w:line="240" w:lineRule="atLeast"/>
        <w:rPr>
          <w:bCs/>
          <w:szCs w:val="21"/>
        </w:rPr>
      </w:pPr>
      <w:r w:rsidRPr="00494F04">
        <w:rPr>
          <w:bCs/>
          <w:szCs w:val="21"/>
        </w:rPr>
        <w:t>[4] James J Pestka</w:t>
      </w:r>
      <w:r w:rsidRPr="00494F04">
        <w:rPr>
          <w:rFonts w:hint="eastAsia"/>
          <w:bCs/>
          <w:szCs w:val="21"/>
        </w:rPr>
        <w:t xml:space="preserve">. </w:t>
      </w:r>
      <w:r w:rsidRPr="00494F04">
        <w:rPr>
          <w:bCs/>
          <w:szCs w:val="21"/>
        </w:rPr>
        <w:t>Deoxynivalenol: mechanisms of action, human exposure, and toxicological relevance</w:t>
      </w:r>
      <w:r w:rsidRPr="00494F04">
        <w:rPr>
          <w:rFonts w:hint="eastAsia"/>
          <w:bCs/>
          <w:szCs w:val="21"/>
        </w:rPr>
        <w:t>[J]</w:t>
      </w:r>
      <w:r w:rsidRPr="00494F04">
        <w:rPr>
          <w:bCs/>
          <w:szCs w:val="21"/>
        </w:rPr>
        <w:t>.Archives of Toxicology</w:t>
      </w:r>
      <w:r w:rsidRPr="00494F04">
        <w:rPr>
          <w:rFonts w:hint="eastAsia"/>
          <w:bCs/>
          <w:szCs w:val="21"/>
        </w:rPr>
        <w:t>,</w:t>
      </w:r>
      <w:r w:rsidRPr="00494F04">
        <w:rPr>
          <w:bCs/>
          <w:szCs w:val="21"/>
        </w:rPr>
        <w:t>2010</w:t>
      </w:r>
      <w:r w:rsidRPr="00494F04">
        <w:rPr>
          <w:rFonts w:hint="eastAsia"/>
          <w:bCs/>
          <w:szCs w:val="21"/>
        </w:rPr>
        <w:t>,84</w:t>
      </w:r>
      <w:r w:rsidRPr="00494F04">
        <w:rPr>
          <w:bCs/>
          <w:szCs w:val="21"/>
        </w:rPr>
        <w:t>(9)</w:t>
      </w:r>
      <w:r w:rsidRPr="00494F04">
        <w:rPr>
          <w:rFonts w:hint="eastAsia"/>
          <w:bCs/>
          <w:szCs w:val="21"/>
        </w:rPr>
        <w:t>:663-679.</w:t>
      </w:r>
    </w:p>
    <w:p w:rsidR="00494F04" w:rsidRPr="00494F04" w:rsidRDefault="00494F04" w:rsidP="00494F04">
      <w:pPr>
        <w:spacing w:line="240" w:lineRule="atLeast"/>
        <w:rPr>
          <w:bCs/>
          <w:szCs w:val="21"/>
        </w:rPr>
      </w:pPr>
      <w:r w:rsidRPr="00494F04">
        <w:rPr>
          <w:bCs/>
          <w:szCs w:val="21"/>
        </w:rPr>
        <w:t>[5] Girardet C, Bonnet MS, JdirR,</w:t>
      </w:r>
      <w:r w:rsidRPr="00494F04">
        <w:rPr>
          <w:rFonts w:hint="eastAsia"/>
          <w:bCs/>
          <w:szCs w:val="21"/>
        </w:rPr>
        <w:t>et al.</w:t>
      </w:r>
      <w:r w:rsidRPr="00494F04">
        <w:rPr>
          <w:bCs/>
          <w:szCs w:val="21"/>
        </w:rPr>
        <w:t xml:space="preserve"> Central inflammation and sickness-like behavior induced by the food contaminant deoxynivalenol: a PGE2-independent mechanism</w:t>
      </w:r>
      <w:r w:rsidRPr="00494F04">
        <w:rPr>
          <w:rFonts w:hint="eastAsia"/>
          <w:bCs/>
          <w:szCs w:val="21"/>
        </w:rPr>
        <w:t>[J]</w:t>
      </w:r>
      <w:r w:rsidRPr="00494F04">
        <w:rPr>
          <w:bCs/>
          <w:szCs w:val="21"/>
        </w:rPr>
        <w:t>.Toxicol Sci</w:t>
      </w:r>
      <w:r w:rsidRPr="00494F04">
        <w:rPr>
          <w:rFonts w:hint="eastAsia"/>
          <w:bCs/>
          <w:szCs w:val="21"/>
        </w:rPr>
        <w:t>,</w:t>
      </w:r>
      <w:r w:rsidRPr="00494F04">
        <w:rPr>
          <w:bCs/>
          <w:szCs w:val="21"/>
        </w:rPr>
        <w:t>2011</w:t>
      </w:r>
      <w:r w:rsidRPr="00494F04">
        <w:rPr>
          <w:rFonts w:hint="eastAsia"/>
          <w:bCs/>
          <w:szCs w:val="21"/>
        </w:rPr>
        <w:t>,124</w:t>
      </w:r>
      <w:r w:rsidRPr="00494F04">
        <w:rPr>
          <w:bCs/>
          <w:szCs w:val="21"/>
        </w:rPr>
        <w:t>(1)</w:t>
      </w:r>
      <w:r w:rsidRPr="00494F04">
        <w:rPr>
          <w:rFonts w:hint="eastAsia"/>
          <w:bCs/>
          <w:szCs w:val="21"/>
        </w:rPr>
        <w:t>:179-191.</w:t>
      </w:r>
    </w:p>
    <w:p w:rsidR="00494F04" w:rsidRPr="00494F04" w:rsidRDefault="00494F04" w:rsidP="00494F04">
      <w:pPr>
        <w:spacing w:line="240" w:lineRule="atLeast"/>
        <w:rPr>
          <w:bCs/>
          <w:szCs w:val="21"/>
        </w:rPr>
      </w:pPr>
      <w:r w:rsidRPr="00494F04">
        <w:rPr>
          <w:bCs/>
          <w:szCs w:val="21"/>
        </w:rPr>
        <w:t>[</w:t>
      </w:r>
      <w:r w:rsidR="00280637">
        <w:rPr>
          <w:rFonts w:hint="eastAsia"/>
          <w:bCs/>
          <w:szCs w:val="21"/>
        </w:rPr>
        <w:t>6</w:t>
      </w:r>
      <w:r w:rsidRPr="00494F04">
        <w:rPr>
          <w:bCs/>
          <w:szCs w:val="21"/>
        </w:rPr>
        <w:t>] Yuseok Moon, Hyoung-Kab Kim, HyunhoSuh</w:t>
      </w:r>
      <w:r w:rsidRPr="00494F04">
        <w:rPr>
          <w:rFonts w:hint="eastAsia"/>
          <w:bCs/>
          <w:szCs w:val="21"/>
        </w:rPr>
        <w:t>,et al.</w:t>
      </w:r>
      <w:r w:rsidRPr="00494F04">
        <w:rPr>
          <w:bCs/>
          <w:szCs w:val="21"/>
        </w:rPr>
        <w:t xml:space="preserve"> Toxic alterations in chick embryonic liver and spleen by acute exposure to Fusarium-producing mycotoxindeoxynivalenol</w:t>
      </w:r>
      <w:r w:rsidRPr="00494F04">
        <w:rPr>
          <w:rFonts w:hint="eastAsia"/>
          <w:bCs/>
          <w:szCs w:val="21"/>
        </w:rPr>
        <w:t>[J]</w:t>
      </w:r>
      <w:r w:rsidRPr="00494F04">
        <w:rPr>
          <w:bCs/>
          <w:szCs w:val="21"/>
        </w:rPr>
        <w:t>.Biological &amp; Pharmaceutical Bulletin</w:t>
      </w:r>
      <w:r w:rsidRPr="00494F04">
        <w:rPr>
          <w:rFonts w:hint="eastAsia"/>
          <w:bCs/>
          <w:szCs w:val="21"/>
        </w:rPr>
        <w:t>,</w:t>
      </w:r>
      <w:r w:rsidRPr="00494F04">
        <w:rPr>
          <w:bCs/>
          <w:szCs w:val="21"/>
        </w:rPr>
        <w:t>2007</w:t>
      </w:r>
      <w:r w:rsidRPr="00494F04">
        <w:rPr>
          <w:rFonts w:hint="eastAsia"/>
          <w:bCs/>
          <w:szCs w:val="21"/>
        </w:rPr>
        <w:t>,30</w:t>
      </w:r>
      <w:r w:rsidRPr="00494F04">
        <w:rPr>
          <w:bCs/>
          <w:szCs w:val="21"/>
        </w:rPr>
        <w:t>(9)</w:t>
      </w:r>
      <w:r w:rsidRPr="00494F04">
        <w:rPr>
          <w:rFonts w:hint="eastAsia"/>
          <w:bCs/>
          <w:szCs w:val="21"/>
        </w:rPr>
        <w:t>:1808-1812.</w:t>
      </w:r>
    </w:p>
    <w:p w:rsidR="00494F04" w:rsidRPr="00494F04" w:rsidRDefault="00494F04" w:rsidP="00494F04">
      <w:pPr>
        <w:spacing w:line="240" w:lineRule="atLeast"/>
        <w:rPr>
          <w:bCs/>
          <w:szCs w:val="21"/>
        </w:rPr>
      </w:pPr>
      <w:r w:rsidRPr="00494F04">
        <w:rPr>
          <w:bCs/>
          <w:szCs w:val="21"/>
        </w:rPr>
        <w:t>[</w:t>
      </w:r>
      <w:r w:rsidR="00280637">
        <w:rPr>
          <w:rFonts w:hint="eastAsia"/>
          <w:bCs/>
          <w:szCs w:val="21"/>
        </w:rPr>
        <w:t>7</w:t>
      </w:r>
      <w:r w:rsidRPr="00494F04">
        <w:rPr>
          <w:bCs/>
          <w:szCs w:val="21"/>
        </w:rPr>
        <w:t>] Ma YY, Guo HW. Mini-review of studies on the carcinogenicity of deoxynivalenol</w:t>
      </w:r>
      <w:r w:rsidRPr="00494F04">
        <w:rPr>
          <w:rFonts w:hint="eastAsia"/>
          <w:bCs/>
          <w:szCs w:val="21"/>
        </w:rPr>
        <w:t>[J]</w:t>
      </w:r>
      <w:r w:rsidRPr="00494F04">
        <w:rPr>
          <w:bCs/>
          <w:szCs w:val="21"/>
        </w:rPr>
        <w:t>.Environ Toxicol Pharmacol</w:t>
      </w:r>
      <w:r w:rsidRPr="00494F04">
        <w:rPr>
          <w:rFonts w:hint="eastAsia"/>
          <w:bCs/>
          <w:szCs w:val="21"/>
        </w:rPr>
        <w:t>,</w:t>
      </w:r>
      <w:r w:rsidRPr="00494F04">
        <w:rPr>
          <w:bCs/>
          <w:szCs w:val="21"/>
        </w:rPr>
        <w:t>2008</w:t>
      </w:r>
      <w:r w:rsidRPr="00494F04">
        <w:rPr>
          <w:rFonts w:hint="eastAsia"/>
          <w:bCs/>
          <w:szCs w:val="21"/>
        </w:rPr>
        <w:t>,25</w:t>
      </w:r>
      <w:r w:rsidRPr="00494F04">
        <w:rPr>
          <w:bCs/>
          <w:szCs w:val="21"/>
        </w:rPr>
        <w:t>(1)</w:t>
      </w:r>
      <w:r w:rsidRPr="00494F04">
        <w:rPr>
          <w:rFonts w:hint="eastAsia"/>
          <w:bCs/>
          <w:szCs w:val="21"/>
        </w:rPr>
        <w:t>:1-9.</w:t>
      </w:r>
    </w:p>
    <w:p w:rsidR="00494F04" w:rsidRPr="00494F04" w:rsidRDefault="00494F04" w:rsidP="00494F04">
      <w:pPr>
        <w:spacing w:line="240" w:lineRule="atLeast"/>
        <w:rPr>
          <w:bCs/>
          <w:szCs w:val="21"/>
        </w:rPr>
      </w:pPr>
      <w:r w:rsidRPr="00494F04">
        <w:rPr>
          <w:bCs/>
          <w:szCs w:val="21"/>
        </w:rPr>
        <w:t>[</w:t>
      </w:r>
      <w:r w:rsidR="00280637">
        <w:rPr>
          <w:rFonts w:hint="eastAsia"/>
          <w:bCs/>
          <w:szCs w:val="21"/>
        </w:rPr>
        <w:t>8</w:t>
      </w:r>
      <w:r w:rsidRPr="00494F04">
        <w:rPr>
          <w:bCs/>
          <w:szCs w:val="21"/>
        </w:rPr>
        <w:t xml:space="preserve">] </w:t>
      </w:r>
      <w:r w:rsidRPr="00494F04">
        <w:rPr>
          <w:bCs/>
          <w:szCs w:val="21"/>
        </w:rPr>
        <w:t>于爱莲</w:t>
      </w:r>
      <w:r w:rsidRPr="00494F04">
        <w:rPr>
          <w:rFonts w:hint="eastAsia"/>
          <w:bCs/>
          <w:szCs w:val="21"/>
        </w:rPr>
        <w:t>,</w:t>
      </w:r>
      <w:r w:rsidRPr="00494F04">
        <w:rPr>
          <w:bCs/>
          <w:szCs w:val="21"/>
        </w:rPr>
        <w:t>李晓霞</w:t>
      </w:r>
      <w:r w:rsidRPr="00494F04">
        <w:rPr>
          <w:rFonts w:hint="eastAsia"/>
          <w:bCs/>
          <w:szCs w:val="21"/>
        </w:rPr>
        <w:t>,</w:t>
      </w:r>
      <w:r w:rsidRPr="00494F04">
        <w:rPr>
          <w:bCs/>
          <w:szCs w:val="21"/>
        </w:rPr>
        <w:t>朱小明</w:t>
      </w:r>
      <w:r w:rsidRPr="00494F04">
        <w:rPr>
          <w:rFonts w:hint="eastAsia"/>
          <w:bCs/>
          <w:szCs w:val="21"/>
        </w:rPr>
        <w:t xml:space="preserve">. </w:t>
      </w:r>
      <w:r w:rsidRPr="00494F04">
        <w:rPr>
          <w:bCs/>
          <w:szCs w:val="21"/>
        </w:rPr>
        <w:t>脱氧雪腐镰刀菌烯醇对小鼠的胚胎毒性和致畸作用</w:t>
      </w:r>
      <w:r w:rsidRPr="00494F04">
        <w:rPr>
          <w:bCs/>
          <w:szCs w:val="21"/>
        </w:rPr>
        <w:t>[</w:t>
      </w:r>
      <w:r w:rsidRPr="00494F04">
        <w:rPr>
          <w:rFonts w:hint="eastAsia"/>
          <w:bCs/>
          <w:szCs w:val="21"/>
        </w:rPr>
        <w:t>J</w:t>
      </w:r>
      <w:r w:rsidRPr="00494F04">
        <w:rPr>
          <w:bCs/>
          <w:szCs w:val="21"/>
        </w:rPr>
        <w:t>]</w:t>
      </w:r>
      <w:r w:rsidRPr="00494F04">
        <w:rPr>
          <w:rFonts w:hint="eastAsia"/>
          <w:bCs/>
          <w:szCs w:val="21"/>
        </w:rPr>
        <w:t xml:space="preserve">. </w:t>
      </w:r>
      <w:r w:rsidRPr="00494F04">
        <w:rPr>
          <w:bCs/>
          <w:szCs w:val="21"/>
        </w:rPr>
        <w:t>环境与健康杂志</w:t>
      </w:r>
      <w:r w:rsidRPr="00494F04">
        <w:rPr>
          <w:rFonts w:hint="eastAsia"/>
          <w:bCs/>
          <w:szCs w:val="21"/>
        </w:rPr>
        <w:t>,</w:t>
      </w:r>
      <w:r w:rsidRPr="00494F04">
        <w:rPr>
          <w:bCs/>
          <w:szCs w:val="21"/>
        </w:rPr>
        <w:t>2010</w:t>
      </w:r>
      <w:r w:rsidRPr="00494F04">
        <w:rPr>
          <w:rFonts w:hint="eastAsia"/>
          <w:bCs/>
          <w:szCs w:val="21"/>
        </w:rPr>
        <w:t>,27</w:t>
      </w:r>
      <w:r w:rsidRPr="00494F04">
        <w:rPr>
          <w:bCs/>
          <w:szCs w:val="21"/>
        </w:rPr>
        <w:t>(11)</w:t>
      </w:r>
      <w:r w:rsidRPr="00494F04">
        <w:rPr>
          <w:rFonts w:hint="eastAsia"/>
          <w:bCs/>
          <w:szCs w:val="21"/>
        </w:rPr>
        <w:t>:949-951.</w:t>
      </w:r>
    </w:p>
    <w:p w:rsidR="00494F04" w:rsidRPr="00494F04" w:rsidRDefault="00494F04" w:rsidP="00494F04">
      <w:pPr>
        <w:spacing w:line="240" w:lineRule="atLeast"/>
        <w:rPr>
          <w:bCs/>
          <w:szCs w:val="21"/>
        </w:rPr>
      </w:pPr>
      <w:r w:rsidRPr="00494F04">
        <w:rPr>
          <w:bCs/>
          <w:szCs w:val="21"/>
        </w:rPr>
        <w:t>[</w:t>
      </w:r>
      <w:r w:rsidR="00280637">
        <w:rPr>
          <w:rFonts w:hint="eastAsia"/>
          <w:bCs/>
          <w:szCs w:val="21"/>
        </w:rPr>
        <w:t>9</w:t>
      </w:r>
      <w:r w:rsidRPr="00494F04">
        <w:rPr>
          <w:bCs/>
          <w:szCs w:val="21"/>
        </w:rPr>
        <w:t>] Lattanzio VM, Nivarlet N, LippolisV,</w:t>
      </w:r>
      <w:r w:rsidRPr="00494F04">
        <w:rPr>
          <w:rFonts w:hint="eastAsia"/>
          <w:bCs/>
          <w:szCs w:val="21"/>
        </w:rPr>
        <w:t>et al.</w:t>
      </w:r>
      <w:r w:rsidRPr="00494F04">
        <w:rPr>
          <w:bCs/>
          <w:szCs w:val="21"/>
        </w:rPr>
        <w:t xml:space="preserve"> Multiplex dipstick immunoassay for semi-quantitative determination of Fusariummycotoxins in cereals[</w:t>
      </w:r>
      <w:r w:rsidRPr="00494F04">
        <w:rPr>
          <w:rFonts w:hint="eastAsia"/>
          <w:bCs/>
          <w:szCs w:val="21"/>
        </w:rPr>
        <w:t>J</w:t>
      </w:r>
      <w:r w:rsidRPr="00494F04">
        <w:rPr>
          <w:bCs/>
          <w:szCs w:val="21"/>
        </w:rPr>
        <w:t>]</w:t>
      </w:r>
      <w:r w:rsidRPr="00494F04">
        <w:rPr>
          <w:rFonts w:hint="eastAsia"/>
          <w:bCs/>
          <w:szCs w:val="21"/>
        </w:rPr>
        <w:t xml:space="preserve">. </w:t>
      </w:r>
      <w:r w:rsidRPr="00494F04">
        <w:rPr>
          <w:bCs/>
          <w:szCs w:val="21"/>
        </w:rPr>
        <w:t>Anal Chim Acta</w:t>
      </w:r>
      <w:r w:rsidRPr="00494F04">
        <w:rPr>
          <w:rFonts w:hint="eastAsia"/>
          <w:bCs/>
          <w:szCs w:val="21"/>
        </w:rPr>
        <w:t>,</w:t>
      </w:r>
      <w:r w:rsidRPr="00494F04">
        <w:rPr>
          <w:bCs/>
          <w:szCs w:val="21"/>
        </w:rPr>
        <w:t>2012</w:t>
      </w:r>
      <w:r w:rsidRPr="00494F04">
        <w:rPr>
          <w:rFonts w:hint="eastAsia"/>
          <w:bCs/>
          <w:szCs w:val="21"/>
        </w:rPr>
        <w:t>,718:99-108.</w:t>
      </w:r>
    </w:p>
    <w:p w:rsidR="00494F04" w:rsidRPr="00494F04" w:rsidRDefault="00494F04" w:rsidP="00494F04">
      <w:pPr>
        <w:spacing w:line="240" w:lineRule="atLeast"/>
        <w:rPr>
          <w:bCs/>
          <w:szCs w:val="21"/>
        </w:rPr>
      </w:pPr>
      <w:r w:rsidRPr="00494F04">
        <w:rPr>
          <w:bCs/>
          <w:szCs w:val="21"/>
        </w:rPr>
        <w:t>[</w:t>
      </w:r>
      <w:r w:rsidR="00280637">
        <w:rPr>
          <w:rFonts w:hint="eastAsia"/>
          <w:bCs/>
          <w:szCs w:val="21"/>
        </w:rPr>
        <w:t>10</w:t>
      </w:r>
      <w:r w:rsidRPr="00494F04">
        <w:rPr>
          <w:bCs/>
          <w:szCs w:val="21"/>
        </w:rPr>
        <w:t xml:space="preserve">] </w:t>
      </w:r>
      <w:r w:rsidRPr="00494F04">
        <w:rPr>
          <w:bCs/>
          <w:szCs w:val="21"/>
        </w:rPr>
        <w:t>金秀娟</w:t>
      </w:r>
      <w:r w:rsidRPr="00494F04">
        <w:rPr>
          <w:rFonts w:hint="eastAsia"/>
          <w:bCs/>
          <w:szCs w:val="21"/>
        </w:rPr>
        <w:t>,</w:t>
      </w:r>
      <w:r w:rsidRPr="00494F04">
        <w:rPr>
          <w:bCs/>
          <w:szCs w:val="21"/>
        </w:rPr>
        <w:t>朱旭东</w:t>
      </w:r>
      <w:r w:rsidRPr="00494F04">
        <w:rPr>
          <w:rFonts w:hint="eastAsia"/>
          <w:bCs/>
          <w:szCs w:val="21"/>
        </w:rPr>
        <w:t xml:space="preserve">. </w:t>
      </w:r>
      <w:r w:rsidRPr="00494F04">
        <w:rPr>
          <w:bCs/>
          <w:szCs w:val="21"/>
        </w:rPr>
        <w:t>脱氧雪腐镰刀菌烯醇的检测</w:t>
      </w:r>
      <w:r w:rsidRPr="00494F04">
        <w:rPr>
          <w:bCs/>
          <w:szCs w:val="21"/>
        </w:rPr>
        <w:t>[</w:t>
      </w:r>
      <w:r w:rsidRPr="00494F04">
        <w:rPr>
          <w:rFonts w:hint="eastAsia"/>
          <w:bCs/>
          <w:szCs w:val="21"/>
        </w:rPr>
        <w:t>J</w:t>
      </w:r>
      <w:r w:rsidRPr="00494F04">
        <w:rPr>
          <w:bCs/>
          <w:szCs w:val="21"/>
        </w:rPr>
        <w:t>]</w:t>
      </w:r>
      <w:r w:rsidRPr="00494F04">
        <w:rPr>
          <w:rFonts w:hint="eastAsia"/>
          <w:bCs/>
          <w:szCs w:val="21"/>
        </w:rPr>
        <w:t xml:space="preserve">. </w:t>
      </w:r>
      <w:r w:rsidRPr="00494F04">
        <w:rPr>
          <w:bCs/>
          <w:szCs w:val="21"/>
        </w:rPr>
        <w:t>粮食加工</w:t>
      </w:r>
      <w:r w:rsidRPr="00494F04">
        <w:rPr>
          <w:rFonts w:hint="eastAsia"/>
          <w:bCs/>
          <w:szCs w:val="21"/>
        </w:rPr>
        <w:t>,</w:t>
      </w:r>
      <w:r w:rsidRPr="00494F04">
        <w:rPr>
          <w:bCs/>
          <w:szCs w:val="21"/>
        </w:rPr>
        <w:t>2010(3)</w:t>
      </w:r>
      <w:r w:rsidRPr="00494F04">
        <w:rPr>
          <w:rFonts w:hint="eastAsia"/>
          <w:bCs/>
          <w:szCs w:val="21"/>
        </w:rPr>
        <w:t>:87-89.</w:t>
      </w:r>
    </w:p>
    <w:p w:rsidR="00494F04" w:rsidRPr="00494F04" w:rsidRDefault="00494F04" w:rsidP="00494F04">
      <w:pPr>
        <w:spacing w:line="240" w:lineRule="atLeast"/>
        <w:rPr>
          <w:bCs/>
          <w:szCs w:val="21"/>
        </w:rPr>
      </w:pPr>
      <w:r w:rsidRPr="00494F04">
        <w:rPr>
          <w:bCs/>
          <w:szCs w:val="21"/>
        </w:rPr>
        <w:t>[1</w:t>
      </w:r>
      <w:r w:rsidR="00280637">
        <w:rPr>
          <w:rFonts w:hint="eastAsia"/>
          <w:bCs/>
          <w:szCs w:val="21"/>
        </w:rPr>
        <w:t>1</w:t>
      </w:r>
      <w:r w:rsidRPr="00494F04">
        <w:rPr>
          <w:bCs/>
          <w:szCs w:val="21"/>
        </w:rPr>
        <w:t xml:space="preserve">] </w:t>
      </w:r>
      <w:r w:rsidRPr="00494F04">
        <w:rPr>
          <w:bCs/>
          <w:szCs w:val="21"/>
        </w:rPr>
        <w:t>魏润蕴，李文艳</w:t>
      </w:r>
      <w:r w:rsidRPr="00494F04">
        <w:rPr>
          <w:bCs/>
          <w:szCs w:val="21"/>
        </w:rPr>
        <w:t>.</w:t>
      </w:r>
      <w:r w:rsidRPr="00494F04">
        <w:rPr>
          <w:bCs/>
          <w:szCs w:val="21"/>
        </w:rPr>
        <w:t>小麦中雪腐镰刀菌烯醇</w:t>
      </w:r>
      <w:r w:rsidRPr="00494F04">
        <w:rPr>
          <w:bCs/>
          <w:szCs w:val="21"/>
        </w:rPr>
        <w:t>( NIV)</w:t>
      </w:r>
      <w:r w:rsidRPr="00494F04">
        <w:rPr>
          <w:bCs/>
          <w:szCs w:val="21"/>
        </w:rPr>
        <w:t>和脱氧雪腐镰刀菌烯醇</w:t>
      </w:r>
      <w:r w:rsidRPr="00494F04">
        <w:rPr>
          <w:bCs/>
          <w:szCs w:val="21"/>
        </w:rPr>
        <w:t>(DON)</w:t>
      </w:r>
      <w:r w:rsidRPr="00494F04">
        <w:rPr>
          <w:bCs/>
          <w:szCs w:val="21"/>
        </w:rPr>
        <w:t>的薄层色谱测定方法</w:t>
      </w:r>
      <w:r w:rsidRPr="00494F04">
        <w:rPr>
          <w:bCs/>
          <w:szCs w:val="21"/>
        </w:rPr>
        <w:t>[J].</w:t>
      </w:r>
      <w:r w:rsidRPr="00494F04">
        <w:rPr>
          <w:bCs/>
          <w:szCs w:val="21"/>
        </w:rPr>
        <w:t>中国食品卫生杂志，</w:t>
      </w:r>
      <w:r w:rsidRPr="00494F04">
        <w:rPr>
          <w:bCs/>
          <w:szCs w:val="21"/>
        </w:rPr>
        <w:t>1994,6(1):19-22.</w:t>
      </w:r>
    </w:p>
    <w:p w:rsidR="00494F04" w:rsidRPr="00494F04" w:rsidRDefault="00494F04" w:rsidP="00494F04">
      <w:pPr>
        <w:spacing w:line="240" w:lineRule="atLeast"/>
        <w:rPr>
          <w:bCs/>
          <w:szCs w:val="21"/>
        </w:rPr>
      </w:pPr>
      <w:r w:rsidRPr="00494F04">
        <w:rPr>
          <w:bCs/>
          <w:szCs w:val="21"/>
        </w:rPr>
        <w:t>[1</w:t>
      </w:r>
      <w:r w:rsidR="00280637">
        <w:rPr>
          <w:rFonts w:hint="eastAsia"/>
          <w:bCs/>
          <w:szCs w:val="21"/>
        </w:rPr>
        <w:t>2</w:t>
      </w:r>
      <w:r w:rsidRPr="00494F04">
        <w:rPr>
          <w:bCs/>
          <w:szCs w:val="21"/>
        </w:rPr>
        <w:t>] Setyabudi F M C S</w:t>
      </w:r>
      <w:r w:rsidRPr="00494F04">
        <w:rPr>
          <w:rFonts w:hint="eastAsia"/>
          <w:bCs/>
          <w:szCs w:val="21"/>
        </w:rPr>
        <w:t>,</w:t>
      </w:r>
      <w:r w:rsidRPr="00494F04">
        <w:rPr>
          <w:bCs/>
          <w:szCs w:val="21"/>
        </w:rPr>
        <w:t>NuryonoN</w:t>
      </w:r>
      <w:r w:rsidRPr="00494F04">
        <w:rPr>
          <w:rFonts w:hint="eastAsia"/>
          <w:bCs/>
          <w:szCs w:val="21"/>
        </w:rPr>
        <w:t>,</w:t>
      </w:r>
      <w:r w:rsidRPr="00494F04">
        <w:rPr>
          <w:bCs/>
          <w:szCs w:val="21"/>
        </w:rPr>
        <w:t>WedhastriS</w:t>
      </w:r>
      <w:r w:rsidRPr="00494F04">
        <w:rPr>
          <w:rFonts w:hint="eastAsia"/>
          <w:bCs/>
          <w:szCs w:val="21"/>
        </w:rPr>
        <w:t>,et al.</w:t>
      </w:r>
      <w:r w:rsidRPr="00494F04">
        <w:rPr>
          <w:bCs/>
          <w:szCs w:val="21"/>
        </w:rPr>
        <w:t xml:space="preserve"> Limited survey of deoxynivalenol occurrence in maize kernels andmaize</w:t>
      </w:r>
      <w:r w:rsidRPr="00494F04">
        <w:rPr>
          <w:rFonts w:hint="eastAsia"/>
          <w:bCs/>
          <w:szCs w:val="21"/>
        </w:rPr>
        <w:t>-</w:t>
      </w:r>
      <w:r w:rsidRPr="00494F04">
        <w:rPr>
          <w:bCs/>
          <w:szCs w:val="21"/>
        </w:rPr>
        <w:t>products collected from Indonesian retail market[J]</w:t>
      </w:r>
      <w:r w:rsidRPr="00494F04">
        <w:rPr>
          <w:rFonts w:hint="eastAsia"/>
          <w:bCs/>
          <w:szCs w:val="21"/>
        </w:rPr>
        <w:t xml:space="preserve">. </w:t>
      </w:r>
      <w:r w:rsidRPr="00494F04">
        <w:rPr>
          <w:bCs/>
          <w:szCs w:val="21"/>
        </w:rPr>
        <w:t>Food Control</w:t>
      </w:r>
      <w:r w:rsidRPr="00494F04">
        <w:rPr>
          <w:rFonts w:hint="eastAsia"/>
          <w:bCs/>
          <w:szCs w:val="21"/>
        </w:rPr>
        <w:t>,</w:t>
      </w:r>
      <w:r w:rsidRPr="00494F04">
        <w:rPr>
          <w:bCs/>
          <w:szCs w:val="21"/>
        </w:rPr>
        <w:t>2012</w:t>
      </w:r>
      <w:r w:rsidRPr="00494F04">
        <w:rPr>
          <w:rFonts w:hint="eastAsia"/>
          <w:bCs/>
          <w:szCs w:val="21"/>
        </w:rPr>
        <w:t>,24</w:t>
      </w:r>
      <w:r w:rsidRPr="00494F04">
        <w:rPr>
          <w:bCs/>
          <w:szCs w:val="21"/>
        </w:rPr>
        <w:t>(1</w:t>
      </w:r>
      <w:r w:rsidRPr="00494F04">
        <w:rPr>
          <w:rFonts w:hint="eastAsia"/>
          <w:bCs/>
          <w:szCs w:val="21"/>
        </w:rPr>
        <w:t>-</w:t>
      </w:r>
      <w:r w:rsidRPr="00494F04">
        <w:rPr>
          <w:bCs/>
          <w:szCs w:val="21"/>
        </w:rPr>
        <w:t>2)</w:t>
      </w:r>
      <w:r w:rsidRPr="00494F04">
        <w:rPr>
          <w:rFonts w:hint="eastAsia"/>
          <w:bCs/>
          <w:szCs w:val="21"/>
        </w:rPr>
        <w:t>:123-127.</w:t>
      </w:r>
    </w:p>
    <w:p w:rsidR="00494F04" w:rsidRPr="00494F04" w:rsidRDefault="00494F04" w:rsidP="00494F04">
      <w:pPr>
        <w:spacing w:line="240" w:lineRule="atLeast"/>
        <w:rPr>
          <w:bCs/>
          <w:szCs w:val="21"/>
        </w:rPr>
      </w:pPr>
      <w:r w:rsidRPr="00494F04">
        <w:rPr>
          <w:bCs/>
          <w:szCs w:val="21"/>
        </w:rPr>
        <w:t>[1</w:t>
      </w:r>
      <w:r w:rsidR="00280637">
        <w:rPr>
          <w:rFonts w:hint="eastAsia"/>
          <w:bCs/>
          <w:szCs w:val="21"/>
        </w:rPr>
        <w:t>3</w:t>
      </w:r>
      <w:r w:rsidRPr="00494F04">
        <w:rPr>
          <w:bCs/>
          <w:szCs w:val="21"/>
        </w:rPr>
        <w:t>] HallierA</w:t>
      </w:r>
      <w:r w:rsidRPr="00494F04">
        <w:rPr>
          <w:rFonts w:hint="eastAsia"/>
          <w:bCs/>
          <w:szCs w:val="21"/>
        </w:rPr>
        <w:t>,</w:t>
      </w:r>
      <w:r w:rsidRPr="00494F04">
        <w:rPr>
          <w:bCs/>
          <w:szCs w:val="21"/>
        </w:rPr>
        <w:t>CeletteF</w:t>
      </w:r>
      <w:r w:rsidRPr="00494F04">
        <w:rPr>
          <w:rFonts w:hint="eastAsia"/>
          <w:bCs/>
          <w:szCs w:val="21"/>
        </w:rPr>
        <w:t>,</w:t>
      </w:r>
      <w:r w:rsidRPr="00494F04">
        <w:rPr>
          <w:bCs/>
          <w:szCs w:val="21"/>
        </w:rPr>
        <w:t>David C</w:t>
      </w:r>
      <w:r w:rsidRPr="00494F04">
        <w:rPr>
          <w:rFonts w:hint="eastAsia"/>
          <w:bCs/>
          <w:szCs w:val="21"/>
        </w:rPr>
        <w:t>.</w:t>
      </w:r>
      <w:r w:rsidRPr="00494F04">
        <w:rPr>
          <w:bCs/>
          <w:szCs w:val="21"/>
        </w:rPr>
        <w:t xml:space="preserve"> Effects of sampling and extraction on deoxynivalenol quantification[J]</w:t>
      </w:r>
      <w:r w:rsidRPr="00494F04">
        <w:rPr>
          <w:rFonts w:hint="eastAsia"/>
          <w:bCs/>
          <w:szCs w:val="21"/>
        </w:rPr>
        <w:t xml:space="preserve">. </w:t>
      </w:r>
      <w:r w:rsidRPr="00494F04">
        <w:rPr>
          <w:bCs/>
          <w:szCs w:val="21"/>
        </w:rPr>
        <w:t>Food chemistry</w:t>
      </w:r>
      <w:r w:rsidRPr="00494F04">
        <w:rPr>
          <w:rFonts w:hint="eastAsia"/>
          <w:bCs/>
          <w:szCs w:val="21"/>
        </w:rPr>
        <w:t>,</w:t>
      </w:r>
      <w:r w:rsidRPr="00494F04">
        <w:rPr>
          <w:bCs/>
          <w:szCs w:val="21"/>
        </w:rPr>
        <w:t>2011</w:t>
      </w:r>
      <w:r w:rsidRPr="00494F04">
        <w:rPr>
          <w:rFonts w:hint="eastAsia"/>
          <w:bCs/>
          <w:szCs w:val="21"/>
        </w:rPr>
        <w:t>,127:303-307.</w:t>
      </w:r>
    </w:p>
    <w:p w:rsidR="00494F04" w:rsidRPr="00494F04" w:rsidRDefault="00494F04" w:rsidP="00494F04">
      <w:pPr>
        <w:spacing w:line="240" w:lineRule="atLeast"/>
        <w:rPr>
          <w:bCs/>
          <w:szCs w:val="21"/>
        </w:rPr>
      </w:pPr>
      <w:r w:rsidRPr="00494F04">
        <w:rPr>
          <w:bCs/>
          <w:szCs w:val="21"/>
        </w:rPr>
        <w:t>[1</w:t>
      </w:r>
      <w:r w:rsidR="00280637">
        <w:rPr>
          <w:rFonts w:hint="eastAsia"/>
          <w:bCs/>
          <w:szCs w:val="21"/>
        </w:rPr>
        <w:t>4</w:t>
      </w:r>
      <w:r w:rsidRPr="00494F04">
        <w:rPr>
          <w:bCs/>
          <w:szCs w:val="21"/>
        </w:rPr>
        <w:t>] Tacke B K,Casper H H. Determination ofdeoxynivalenol in wheat,barley, and malt byvolumnvleanup and gas chromatography withelectron capture detection[J]. Journal of AOACInternational, 1996,79</w:t>
      </w:r>
      <w:r w:rsidRPr="00494F04">
        <w:rPr>
          <w:rFonts w:hint="eastAsia"/>
          <w:bCs/>
          <w:szCs w:val="21"/>
        </w:rPr>
        <w:t>(2):472-475.</w:t>
      </w:r>
    </w:p>
    <w:p w:rsidR="00494F04" w:rsidRPr="00494F04" w:rsidRDefault="00494F04" w:rsidP="00494F04">
      <w:pPr>
        <w:spacing w:line="240" w:lineRule="atLeast"/>
        <w:rPr>
          <w:bCs/>
          <w:szCs w:val="21"/>
        </w:rPr>
      </w:pPr>
      <w:r w:rsidRPr="00494F04">
        <w:rPr>
          <w:bCs/>
          <w:szCs w:val="21"/>
        </w:rPr>
        <w:t>[1</w:t>
      </w:r>
      <w:r w:rsidR="00280637">
        <w:rPr>
          <w:rFonts w:hint="eastAsia"/>
          <w:bCs/>
          <w:szCs w:val="21"/>
        </w:rPr>
        <w:t>5</w:t>
      </w:r>
      <w:r w:rsidRPr="00494F04">
        <w:rPr>
          <w:bCs/>
          <w:szCs w:val="21"/>
        </w:rPr>
        <w:t>] Tran S T</w:t>
      </w:r>
      <w:r w:rsidRPr="00494F04">
        <w:rPr>
          <w:rFonts w:hint="eastAsia"/>
          <w:bCs/>
          <w:szCs w:val="21"/>
        </w:rPr>
        <w:t>,</w:t>
      </w:r>
      <w:r w:rsidRPr="00494F04">
        <w:rPr>
          <w:bCs/>
          <w:szCs w:val="21"/>
        </w:rPr>
        <w:t>Smith T K</w:t>
      </w:r>
      <w:r w:rsidRPr="00494F04">
        <w:rPr>
          <w:rFonts w:hint="eastAsia"/>
          <w:bCs/>
          <w:szCs w:val="21"/>
        </w:rPr>
        <w:t>,</w:t>
      </w:r>
      <w:r w:rsidRPr="00494F04">
        <w:rPr>
          <w:bCs/>
          <w:szCs w:val="21"/>
        </w:rPr>
        <w:t>Girgis G N</w:t>
      </w:r>
      <w:r w:rsidRPr="00494F04">
        <w:rPr>
          <w:rFonts w:hint="eastAsia"/>
          <w:bCs/>
          <w:szCs w:val="21"/>
        </w:rPr>
        <w:t>.</w:t>
      </w:r>
      <w:r w:rsidRPr="00494F04">
        <w:rPr>
          <w:bCs/>
          <w:szCs w:val="21"/>
        </w:rPr>
        <w:t xml:space="preserve"> A survey of free and conjugated deoxynivalenol in the 2008 corn crop inOntario,Canada[J].J Sci Food Agric</w:t>
      </w:r>
      <w:r w:rsidRPr="00494F04">
        <w:rPr>
          <w:rFonts w:hint="eastAsia"/>
          <w:bCs/>
          <w:szCs w:val="21"/>
        </w:rPr>
        <w:t>,</w:t>
      </w:r>
      <w:r w:rsidRPr="00494F04">
        <w:rPr>
          <w:bCs/>
          <w:szCs w:val="21"/>
        </w:rPr>
        <w:t>2012</w:t>
      </w:r>
      <w:r w:rsidRPr="00494F04">
        <w:rPr>
          <w:rFonts w:hint="eastAsia"/>
          <w:bCs/>
          <w:szCs w:val="21"/>
        </w:rPr>
        <w:t>,92</w:t>
      </w:r>
      <w:r w:rsidRPr="00494F04">
        <w:rPr>
          <w:bCs/>
          <w:szCs w:val="21"/>
        </w:rPr>
        <w:t>(1)</w:t>
      </w:r>
      <w:r w:rsidRPr="00494F04">
        <w:rPr>
          <w:rFonts w:hint="eastAsia"/>
          <w:bCs/>
          <w:szCs w:val="21"/>
        </w:rPr>
        <w:t>:37-41.</w:t>
      </w:r>
    </w:p>
    <w:p w:rsidR="009006E2" w:rsidRPr="00064B71" w:rsidRDefault="00494F04" w:rsidP="005D73AD">
      <w:pPr>
        <w:spacing w:line="240" w:lineRule="atLeast"/>
        <w:rPr>
          <w:bCs/>
          <w:szCs w:val="21"/>
        </w:rPr>
      </w:pPr>
      <w:r w:rsidRPr="00494F04">
        <w:rPr>
          <w:bCs/>
          <w:szCs w:val="21"/>
        </w:rPr>
        <w:t>[1</w:t>
      </w:r>
      <w:r w:rsidR="00280637">
        <w:rPr>
          <w:rFonts w:hint="eastAsia"/>
          <w:bCs/>
          <w:szCs w:val="21"/>
        </w:rPr>
        <w:t>6</w:t>
      </w:r>
      <w:r w:rsidRPr="00494F04">
        <w:rPr>
          <w:bCs/>
          <w:szCs w:val="21"/>
        </w:rPr>
        <w:t xml:space="preserve">] </w:t>
      </w:r>
      <w:r w:rsidRPr="00494F04">
        <w:rPr>
          <w:bCs/>
          <w:szCs w:val="21"/>
        </w:rPr>
        <w:t>高军侠，万昊雷，刘作新</w:t>
      </w:r>
      <w:r w:rsidRPr="00494F04">
        <w:rPr>
          <w:bCs/>
          <w:szCs w:val="21"/>
        </w:rPr>
        <w:t>. Florisil</w:t>
      </w:r>
      <w:r w:rsidRPr="00494F04">
        <w:rPr>
          <w:bCs/>
          <w:szCs w:val="21"/>
        </w:rPr>
        <w:t>柱净化玉米、水稻及糙米中黄曲霉毒素的最优化条件研究</w:t>
      </w:r>
      <w:r w:rsidRPr="00494F04">
        <w:rPr>
          <w:bCs/>
          <w:szCs w:val="21"/>
        </w:rPr>
        <w:t>[</w:t>
      </w:r>
      <w:r w:rsidRPr="00494F04">
        <w:rPr>
          <w:rFonts w:hint="eastAsia"/>
          <w:bCs/>
          <w:szCs w:val="21"/>
        </w:rPr>
        <w:t>J</w:t>
      </w:r>
      <w:r w:rsidRPr="00494F04">
        <w:rPr>
          <w:bCs/>
          <w:szCs w:val="21"/>
        </w:rPr>
        <w:t>]</w:t>
      </w:r>
      <w:r w:rsidRPr="00494F04">
        <w:rPr>
          <w:rFonts w:hint="eastAsia"/>
          <w:bCs/>
          <w:szCs w:val="21"/>
        </w:rPr>
        <w:t xml:space="preserve">. </w:t>
      </w:r>
      <w:r w:rsidRPr="00494F04">
        <w:rPr>
          <w:bCs/>
          <w:szCs w:val="21"/>
        </w:rPr>
        <w:t>郑州大学学报</w:t>
      </w:r>
      <w:r w:rsidRPr="00494F04">
        <w:rPr>
          <w:rFonts w:hint="eastAsia"/>
          <w:bCs/>
          <w:szCs w:val="21"/>
        </w:rPr>
        <w:t>:</w:t>
      </w:r>
      <w:r w:rsidRPr="00494F04">
        <w:rPr>
          <w:bCs/>
          <w:szCs w:val="21"/>
        </w:rPr>
        <w:t>理学版</w:t>
      </w:r>
      <w:r w:rsidRPr="00494F04">
        <w:rPr>
          <w:rFonts w:hint="eastAsia"/>
          <w:bCs/>
          <w:szCs w:val="21"/>
        </w:rPr>
        <w:t>,</w:t>
      </w:r>
      <w:r w:rsidRPr="00494F04">
        <w:rPr>
          <w:bCs/>
          <w:szCs w:val="21"/>
        </w:rPr>
        <w:t>2005</w:t>
      </w:r>
      <w:r w:rsidRPr="00494F04">
        <w:rPr>
          <w:rFonts w:hint="eastAsia"/>
          <w:bCs/>
          <w:szCs w:val="21"/>
        </w:rPr>
        <w:t>,37</w:t>
      </w:r>
      <w:r w:rsidRPr="00494F04">
        <w:rPr>
          <w:bCs/>
          <w:szCs w:val="21"/>
        </w:rPr>
        <w:t>(2)</w:t>
      </w:r>
      <w:r w:rsidRPr="00494F04">
        <w:rPr>
          <w:rFonts w:hint="eastAsia"/>
          <w:bCs/>
          <w:szCs w:val="21"/>
        </w:rPr>
        <w:t>:101-103.</w:t>
      </w:r>
    </w:p>
    <w:p w:rsidR="009006E2" w:rsidRPr="000C59B5" w:rsidRDefault="009006E2" w:rsidP="009006E2">
      <w:pPr>
        <w:spacing w:line="360" w:lineRule="auto"/>
        <w:ind w:firstLineChars="2400" w:firstLine="5040"/>
        <w:rPr>
          <w:szCs w:val="21"/>
        </w:rPr>
      </w:pPr>
    </w:p>
    <w:p w:rsidR="009006E2" w:rsidRPr="000C59B5" w:rsidRDefault="009006E2" w:rsidP="009006E2">
      <w:pPr>
        <w:spacing w:line="360" w:lineRule="auto"/>
        <w:rPr>
          <w:szCs w:val="21"/>
        </w:rPr>
      </w:pPr>
    </w:p>
    <w:p w:rsidR="00FA6DB8" w:rsidRDefault="00FA6DB8"/>
    <w:sectPr w:rsidR="00FA6DB8" w:rsidSect="00163583">
      <w:pgSz w:w="11906" w:h="16838"/>
      <w:pgMar w:top="1440" w:right="1418" w:bottom="1440" w:left="1418"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5971" w:rsidRDefault="00C45971" w:rsidP="009006E2">
      <w:r>
        <w:separator/>
      </w:r>
    </w:p>
  </w:endnote>
  <w:endnote w:type="continuationSeparator" w:id="1">
    <w:p w:rsidR="00C45971" w:rsidRDefault="00C45971" w:rsidP="009006E2">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modern"/>
    <w:notTrueType/>
    <w:pitch w:val="fixed"/>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7E4" w:rsidRDefault="00F034A1">
    <w:pPr>
      <w:pStyle w:val="a4"/>
      <w:framePr w:h="0" w:wrap="around" w:vAnchor="text" w:hAnchor="margin" w:xAlign="center" w:y="1"/>
      <w:rPr>
        <w:rStyle w:val="a5"/>
      </w:rPr>
    </w:pPr>
    <w:r>
      <w:fldChar w:fldCharType="begin"/>
    </w:r>
    <w:r w:rsidR="00FB47E4">
      <w:rPr>
        <w:rStyle w:val="a5"/>
      </w:rPr>
      <w:instrText xml:space="preserve">PAGE  </w:instrText>
    </w:r>
    <w:r>
      <w:fldChar w:fldCharType="end"/>
    </w:r>
  </w:p>
  <w:p w:rsidR="00FB47E4" w:rsidRDefault="00FB47E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7E4" w:rsidRDefault="00FB47E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5971" w:rsidRDefault="00C45971" w:rsidP="009006E2">
      <w:r>
        <w:separator/>
      </w:r>
    </w:p>
  </w:footnote>
  <w:footnote w:type="continuationSeparator" w:id="1">
    <w:p w:rsidR="00C45971" w:rsidRDefault="00C45971" w:rsidP="009006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56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142"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18C60B14"/>
    <w:multiLevelType w:val="multilevel"/>
    <w:tmpl w:val="66CE4B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06E2"/>
    <w:rsid w:val="00064B71"/>
    <w:rsid w:val="0008372B"/>
    <w:rsid w:val="000E711A"/>
    <w:rsid w:val="000F36EC"/>
    <w:rsid w:val="00163583"/>
    <w:rsid w:val="00184678"/>
    <w:rsid w:val="001B7C04"/>
    <w:rsid w:val="001D31D5"/>
    <w:rsid w:val="00222759"/>
    <w:rsid w:val="00230123"/>
    <w:rsid w:val="0023344A"/>
    <w:rsid w:val="00280637"/>
    <w:rsid w:val="002A2CAF"/>
    <w:rsid w:val="002B3F1F"/>
    <w:rsid w:val="002E5DDE"/>
    <w:rsid w:val="00343F1D"/>
    <w:rsid w:val="00390745"/>
    <w:rsid w:val="003934A3"/>
    <w:rsid w:val="003D04B9"/>
    <w:rsid w:val="004060AB"/>
    <w:rsid w:val="004271B7"/>
    <w:rsid w:val="004417D2"/>
    <w:rsid w:val="00484EDC"/>
    <w:rsid w:val="004875B8"/>
    <w:rsid w:val="00494F04"/>
    <w:rsid w:val="004C4227"/>
    <w:rsid w:val="004C55D6"/>
    <w:rsid w:val="00501A4D"/>
    <w:rsid w:val="00514D34"/>
    <w:rsid w:val="005648E0"/>
    <w:rsid w:val="0058572B"/>
    <w:rsid w:val="005D73AD"/>
    <w:rsid w:val="00611BA8"/>
    <w:rsid w:val="00632683"/>
    <w:rsid w:val="00644420"/>
    <w:rsid w:val="006B110D"/>
    <w:rsid w:val="006D19CF"/>
    <w:rsid w:val="00791BF7"/>
    <w:rsid w:val="007B18FE"/>
    <w:rsid w:val="007D1D99"/>
    <w:rsid w:val="00801C4E"/>
    <w:rsid w:val="008059C1"/>
    <w:rsid w:val="00824AE9"/>
    <w:rsid w:val="008702B6"/>
    <w:rsid w:val="008B1728"/>
    <w:rsid w:val="008C4BBD"/>
    <w:rsid w:val="008D01C9"/>
    <w:rsid w:val="008D448F"/>
    <w:rsid w:val="009006E2"/>
    <w:rsid w:val="00920A20"/>
    <w:rsid w:val="0092585E"/>
    <w:rsid w:val="00980D4D"/>
    <w:rsid w:val="00981F79"/>
    <w:rsid w:val="00991A0F"/>
    <w:rsid w:val="009A0775"/>
    <w:rsid w:val="009C0D29"/>
    <w:rsid w:val="009C6A05"/>
    <w:rsid w:val="00A51B53"/>
    <w:rsid w:val="00A657FF"/>
    <w:rsid w:val="00A72F40"/>
    <w:rsid w:val="00AB2F84"/>
    <w:rsid w:val="00B434C6"/>
    <w:rsid w:val="00B91F96"/>
    <w:rsid w:val="00B94435"/>
    <w:rsid w:val="00BE210C"/>
    <w:rsid w:val="00C45971"/>
    <w:rsid w:val="00C714C1"/>
    <w:rsid w:val="00C811DB"/>
    <w:rsid w:val="00C81830"/>
    <w:rsid w:val="00CC1E0F"/>
    <w:rsid w:val="00CF7100"/>
    <w:rsid w:val="00D010F9"/>
    <w:rsid w:val="00D6683C"/>
    <w:rsid w:val="00D70247"/>
    <w:rsid w:val="00DC6FCB"/>
    <w:rsid w:val="00E051B1"/>
    <w:rsid w:val="00E078A5"/>
    <w:rsid w:val="00E3332E"/>
    <w:rsid w:val="00E8380B"/>
    <w:rsid w:val="00F00F48"/>
    <w:rsid w:val="00F034A1"/>
    <w:rsid w:val="00F54861"/>
    <w:rsid w:val="00FA6DB8"/>
    <w:rsid w:val="00FB47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06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06E2"/>
    <w:rPr>
      <w:sz w:val="18"/>
      <w:szCs w:val="18"/>
    </w:rPr>
  </w:style>
  <w:style w:type="paragraph" w:styleId="a4">
    <w:name w:val="footer"/>
    <w:basedOn w:val="a"/>
    <w:link w:val="Char0"/>
    <w:unhideWhenUsed/>
    <w:rsid w:val="009006E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006E2"/>
    <w:rPr>
      <w:sz w:val="18"/>
      <w:szCs w:val="18"/>
    </w:rPr>
  </w:style>
  <w:style w:type="character" w:styleId="a5">
    <w:name w:val="page number"/>
    <w:basedOn w:val="a0"/>
    <w:rsid w:val="009006E2"/>
  </w:style>
  <w:style w:type="paragraph" w:customStyle="1" w:styleId="a6">
    <w:name w:val="目次、标准名称标题"/>
    <w:basedOn w:val="a"/>
    <w:next w:val="a"/>
    <w:rsid w:val="009006E2"/>
    <w:pPr>
      <w:widowControl/>
      <w:shd w:val="clear" w:color="FFFFFF" w:fill="FFFFFF"/>
      <w:spacing w:before="640" w:after="560" w:line="460" w:lineRule="exact"/>
      <w:jc w:val="center"/>
      <w:outlineLvl w:val="0"/>
    </w:pPr>
    <w:rPr>
      <w:rFonts w:ascii="黑体" w:eastAsia="黑体"/>
      <w:kern w:val="0"/>
      <w:sz w:val="32"/>
      <w:szCs w:val="20"/>
    </w:rPr>
  </w:style>
  <w:style w:type="paragraph" w:styleId="a7">
    <w:name w:val="Body Text"/>
    <w:basedOn w:val="a"/>
    <w:link w:val="Char1"/>
    <w:rsid w:val="009006E2"/>
    <w:pPr>
      <w:spacing w:line="300" w:lineRule="auto"/>
    </w:pPr>
    <w:rPr>
      <w:sz w:val="24"/>
    </w:rPr>
  </w:style>
  <w:style w:type="character" w:customStyle="1" w:styleId="Char1">
    <w:name w:val="正文文本 Char"/>
    <w:basedOn w:val="a0"/>
    <w:link w:val="a7"/>
    <w:rsid w:val="009006E2"/>
    <w:rPr>
      <w:rFonts w:ascii="Times New Roman" w:eastAsia="宋体" w:hAnsi="Times New Roman" w:cs="Times New Roman"/>
      <w:sz w:val="24"/>
      <w:szCs w:val="24"/>
    </w:rPr>
  </w:style>
  <w:style w:type="paragraph" w:styleId="2">
    <w:name w:val="Body Text Indent 2"/>
    <w:basedOn w:val="a"/>
    <w:link w:val="2Char"/>
    <w:rsid w:val="009006E2"/>
    <w:pPr>
      <w:spacing w:after="120" w:line="480" w:lineRule="auto"/>
      <w:ind w:leftChars="200" w:left="420"/>
    </w:pPr>
  </w:style>
  <w:style w:type="character" w:customStyle="1" w:styleId="2Char">
    <w:name w:val="正文文本缩进 2 Char"/>
    <w:basedOn w:val="a0"/>
    <w:link w:val="2"/>
    <w:rsid w:val="009006E2"/>
    <w:rPr>
      <w:rFonts w:ascii="Times New Roman" w:eastAsia="宋体" w:hAnsi="Times New Roman" w:cs="Times New Roman"/>
      <w:szCs w:val="24"/>
    </w:rPr>
  </w:style>
  <w:style w:type="table" w:styleId="a8">
    <w:name w:val="Table Grid"/>
    <w:basedOn w:val="a1"/>
    <w:rsid w:val="009006E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link w:val="Char2"/>
    <w:uiPriority w:val="1"/>
    <w:qFormat/>
    <w:rsid w:val="009006E2"/>
    <w:rPr>
      <w:rFonts w:ascii="Calibri" w:eastAsia="宋体" w:hAnsi="Calibri" w:cs="Times New Roman"/>
      <w:kern w:val="0"/>
      <w:sz w:val="22"/>
    </w:rPr>
  </w:style>
  <w:style w:type="character" w:customStyle="1" w:styleId="Char2">
    <w:name w:val="无间隔 Char"/>
    <w:basedOn w:val="a0"/>
    <w:link w:val="a9"/>
    <w:uiPriority w:val="1"/>
    <w:rsid w:val="009006E2"/>
    <w:rPr>
      <w:rFonts w:ascii="Calibri" w:eastAsia="宋体" w:hAnsi="Calibri" w:cs="Times New Roman"/>
      <w:kern w:val="0"/>
      <w:sz w:val="22"/>
    </w:rPr>
  </w:style>
  <w:style w:type="paragraph" w:styleId="3">
    <w:name w:val="Body Text Indent 3"/>
    <w:basedOn w:val="a"/>
    <w:link w:val="3Char"/>
    <w:rsid w:val="009006E2"/>
    <w:pPr>
      <w:spacing w:after="120"/>
      <w:ind w:leftChars="200" w:left="420"/>
    </w:pPr>
    <w:rPr>
      <w:sz w:val="16"/>
      <w:szCs w:val="16"/>
    </w:rPr>
  </w:style>
  <w:style w:type="character" w:customStyle="1" w:styleId="3Char">
    <w:name w:val="正文文本缩进 3 Char"/>
    <w:basedOn w:val="a0"/>
    <w:link w:val="3"/>
    <w:rsid w:val="009006E2"/>
    <w:rPr>
      <w:rFonts w:ascii="Times New Roman" w:eastAsia="宋体" w:hAnsi="Times New Roman" w:cs="Times New Roman"/>
      <w:sz w:val="16"/>
      <w:szCs w:val="16"/>
    </w:rPr>
  </w:style>
  <w:style w:type="paragraph" w:styleId="aa">
    <w:name w:val="Balloon Text"/>
    <w:basedOn w:val="a"/>
    <w:link w:val="Char3"/>
    <w:uiPriority w:val="99"/>
    <w:semiHidden/>
    <w:unhideWhenUsed/>
    <w:rsid w:val="009006E2"/>
    <w:rPr>
      <w:sz w:val="18"/>
      <w:szCs w:val="18"/>
    </w:rPr>
  </w:style>
  <w:style w:type="character" w:customStyle="1" w:styleId="Char3">
    <w:name w:val="批注框文本 Char"/>
    <w:basedOn w:val="a0"/>
    <w:link w:val="aa"/>
    <w:uiPriority w:val="99"/>
    <w:semiHidden/>
    <w:rsid w:val="009006E2"/>
    <w:rPr>
      <w:rFonts w:ascii="Times New Roman" w:eastAsia="宋体" w:hAnsi="Times New Roman" w:cs="Times New Roman"/>
      <w:sz w:val="18"/>
      <w:szCs w:val="18"/>
    </w:rPr>
  </w:style>
  <w:style w:type="character" w:styleId="ab">
    <w:name w:val="annotation reference"/>
    <w:basedOn w:val="a0"/>
    <w:uiPriority w:val="99"/>
    <w:semiHidden/>
    <w:unhideWhenUsed/>
    <w:rsid w:val="00494F04"/>
    <w:rPr>
      <w:sz w:val="21"/>
      <w:szCs w:val="21"/>
    </w:rPr>
  </w:style>
  <w:style w:type="paragraph" w:styleId="ac">
    <w:name w:val="annotation text"/>
    <w:basedOn w:val="a"/>
    <w:link w:val="Char4"/>
    <w:uiPriority w:val="99"/>
    <w:semiHidden/>
    <w:unhideWhenUsed/>
    <w:rsid w:val="00494F04"/>
    <w:pPr>
      <w:jc w:val="left"/>
    </w:pPr>
    <w:rPr>
      <w:rFonts w:asciiTheme="minorHAnsi" w:eastAsiaTheme="minorEastAsia" w:hAnsiTheme="minorHAnsi" w:cstheme="minorBidi"/>
      <w:szCs w:val="22"/>
    </w:rPr>
  </w:style>
  <w:style w:type="character" w:customStyle="1" w:styleId="Char4">
    <w:name w:val="批注文字 Char"/>
    <w:basedOn w:val="a0"/>
    <w:link w:val="ac"/>
    <w:uiPriority w:val="99"/>
    <w:semiHidden/>
    <w:rsid w:val="00494F04"/>
  </w:style>
  <w:style w:type="paragraph" w:customStyle="1" w:styleId="p15">
    <w:name w:val="p15"/>
    <w:basedOn w:val="a"/>
    <w:rsid w:val="009A0775"/>
    <w:pPr>
      <w:widowControl/>
      <w:ind w:firstLine="420"/>
    </w:pPr>
    <w:rPr>
      <w:rFonts w:ascii="宋体" w:hAnsi="宋体" w:cs="宋体"/>
      <w:kern w:val="0"/>
      <w:szCs w:val="21"/>
    </w:rPr>
  </w:style>
  <w:style w:type="paragraph" w:customStyle="1" w:styleId="ad">
    <w:name w:val="一级条标题"/>
    <w:next w:val="a"/>
    <w:rsid w:val="009C0D29"/>
    <w:pPr>
      <w:tabs>
        <w:tab w:val="num" w:pos="1440"/>
      </w:tabs>
      <w:spacing w:beforeLines="50" w:afterLines="50"/>
      <w:ind w:left="1440" w:hanging="720"/>
      <w:outlineLvl w:val="2"/>
    </w:pPr>
    <w:rPr>
      <w:rFonts w:ascii="黑体" w:eastAsia="黑体" w:hAnsi="Times New Roman" w:cs="Times New Roman"/>
      <w:kern w:val="0"/>
      <w:szCs w:val="21"/>
    </w:rPr>
  </w:style>
  <w:style w:type="paragraph" w:styleId="ae">
    <w:name w:val="footnote text"/>
    <w:basedOn w:val="a"/>
    <w:link w:val="Char5"/>
    <w:uiPriority w:val="99"/>
    <w:semiHidden/>
    <w:unhideWhenUsed/>
    <w:rsid w:val="001D31D5"/>
    <w:pPr>
      <w:snapToGrid w:val="0"/>
      <w:jc w:val="left"/>
    </w:pPr>
    <w:rPr>
      <w:sz w:val="18"/>
      <w:szCs w:val="18"/>
    </w:rPr>
  </w:style>
  <w:style w:type="character" w:customStyle="1" w:styleId="Char5">
    <w:name w:val="脚注文本 Char"/>
    <w:basedOn w:val="a0"/>
    <w:link w:val="ae"/>
    <w:uiPriority w:val="99"/>
    <w:semiHidden/>
    <w:rsid w:val="001D31D5"/>
    <w:rPr>
      <w:rFonts w:ascii="Times New Roman" w:eastAsia="宋体" w:hAnsi="Times New Roman" w:cs="Times New Roman"/>
      <w:sz w:val="18"/>
      <w:szCs w:val="18"/>
    </w:rPr>
  </w:style>
  <w:style w:type="character" w:styleId="af">
    <w:name w:val="footnote reference"/>
    <w:basedOn w:val="a0"/>
    <w:uiPriority w:val="99"/>
    <w:semiHidden/>
    <w:unhideWhenUsed/>
    <w:rsid w:val="001D31D5"/>
    <w:rPr>
      <w:vertAlign w:val="superscript"/>
    </w:rPr>
  </w:style>
  <w:style w:type="paragraph" w:styleId="af0">
    <w:name w:val="Date"/>
    <w:basedOn w:val="a"/>
    <w:next w:val="a"/>
    <w:link w:val="Char6"/>
    <w:uiPriority w:val="99"/>
    <w:semiHidden/>
    <w:unhideWhenUsed/>
    <w:rsid w:val="00991A0F"/>
    <w:pPr>
      <w:ind w:leftChars="2500" w:left="100"/>
    </w:pPr>
  </w:style>
  <w:style w:type="character" w:customStyle="1" w:styleId="Char6">
    <w:name w:val="日期 Char"/>
    <w:basedOn w:val="a0"/>
    <w:link w:val="af0"/>
    <w:uiPriority w:val="99"/>
    <w:semiHidden/>
    <w:rsid w:val="00991A0F"/>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06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06E2"/>
    <w:rPr>
      <w:sz w:val="18"/>
      <w:szCs w:val="18"/>
    </w:rPr>
  </w:style>
  <w:style w:type="paragraph" w:styleId="a4">
    <w:name w:val="footer"/>
    <w:basedOn w:val="a"/>
    <w:link w:val="Char0"/>
    <w:unhideWhenUsed/>
    <w:rsid w:val="009006E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006E2"/>
    <w:rPr>
      <w:sz w:val="18"/>
      <w:szCs w:val="18"/>
    </w:rPr>
  </w:style>
  <w:style w:type="character" w:styleId="a5">
    <w:name w:val="page number"/>
    <w:basedOn w:val="a0"/>
    <w:rsid w:val="009006E2"/>
  </w:style>
  <w:style w:type="paragraph" w:customStyle="1" w:styleId="a6">
    <w:name w:val="目次、标准名称标题"/>
    <w:basedOn w:val="a"/>
    <w:next w:val="a"/>
    <w:rsid w:val="009006E2"/>
    <w:pPr>
      <w:widowControl/>
      <w:shd w:val="clear" w:color="FFFFFF" w:fill="FFFFFF"/>
      <w:spacing w:before="640" w:after="560" w:line="460" w:lineRule="exact"/>
      <w:jc w:val="center"/>
      <w:outlineLvl w:val="0"/>
    </w:pPr>
    <w:rPr>
      <w:rFonts w:ascii="黑体" w:eastAsia="黑体"/>
      <w:kern w:val="0"/>
      <w:sz w:val="32"/>
      <w:szCs w:val="20"/>
    </w:rPr>
  </w:style>
  <w:style w:type="paragraph" w:styleId="a7">
    <w:name w:val="Body Text"/>
    <w:basedOn w:val="a"/>
    <w:link w:val="Char1"/>
    <w:rsid w:val="009006E2"/>
    <w:pPr>
      <w:spacing w:line="300" w:lineRule="auto"/>
    </w:pPr>
    <w:rPr>
      <w:sz w:val="24"/>
    </w:rPr>
  </w:style>
  <w:style w:type="character" w:customStyle="1" w:styleId="Char1">
    <w:name w:val="正文文本 Char"/>
    <w:basedOn w:val="a0"/>
    <w:link w:val="a7"/>
    <w:rsid w:val="009006E2"/>
    <w:rPr>
      <w:rFonts w:ascii="Times New Roman" w:eastAsia="宋体" w:hAnsi="Times New Roman" w:cs="Times New Roman"/>
      <w:sz w:val="24"/>
      <w:szCs w:val="24"/>
    </w:rPr>
  </w:style>
  <w:style w:type="paragraph" w:styleId="2">
    <w:name w:val="Body Text Indent 2"/>
    <w:basedOn w:val="a"/>
    <w:link w:val="2Char"/>
    <w:rsid w:val="009006E2"/>
    <w:pPr>
      <w:spacing w:after="120" w:line="480" w:lineRule="auto"/>
      <w:ind w:leftChars="200" w:left="420"/>
    </w:pPr>
  </w:style>
  <w:style w:type="character" w:customStyle="1" w:styleId="2Char">
    <w:name w:val="正文文本缩进 2 Char"/>
    <w:basedOn w:val="a0"/>
    <w:link w:val="2"/>
    <w:rsid w:val="009006E2"/>
    <w:rPr>
      <w:rFonts w:ascii="Times New Roman" w:eastAsia="宋体" w:hAnsi="Times New Roman" w:cs="Times New Roman"/>
      <w:szCs w:val="24"/>
    </w:rPr>
  </w:style>
  <w:style w:type="table" w:styleId="a8">
    <w:name w:val="Table Grid"/>
    <w:basedOn w:val="a1"/>
    <w:rsid w:val="009006E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link w:val="Char2"/>
    <w:uiPriority w:val="1"/>
    <w:qFormat/>
    <w:rsid w:val="009006E2"/>
    <w:rPr>
      <w:rFonts w:ascii="Calibri" w:eastAsia="宋体" w:hAnsi="Calibri" w:cs="Times New Roman"/>
      <w:kern w:val="0"/>
      <w:sz w:val="22"/>
    </w:rPr>
  </w:style>
  <w:style w:type="character" w:customStyle="1" w:styleId="Char2">
    <w:name w:val="无间隔 Char"/>
    <w:basedOn w:val="a0"/>
    <w:link w:val="a9"/>
    <w:uiPriority w:val="1"/>
    <w:rsid w:val="009006E2"/>
    <w:rPr>
      <w:rFonts w:ascii="Calibri" w:eastAsia="宋体" w:hAnsi="Calibri" w:cs="Times New Roman"/>
      <w:kern w:val="0"/>
      <w:sz w:val="22"/>
    </w:rPr>
  </w:style>
  <w:style w:type="paragraph" w:styleId="3">
    <w:name w:val="Body Text Indent 3"/>
    <w:basedOn w:val="a"/>
    <w:link w:val="3Char"/>
    <w:rsid w:val="009006E2"/>
    <w:pPr>
      <w:spacing w:after="120"/>
      <w:ind w:leftChars="200" w:left="420"/>
    </w:pPr>
    <w:rPr>
      <w:sz w:val="16"/>
      <w:szCs w:val="16"/>
    </w:rPr>
  </w:style>
  <w:style w:type="character" w:customStyle="1" w:styleId="3Char">
    <w:name w:val="正文文本缩进 3 Char"/>
    <w:basedOn w:val="a0"/>
    <w:link w:val="3"/>
    <w:rsid w:val="009006E2"/>
    <w:rPr>
      <w:rFonts w:ascii="Times New Roman" w:eastAsia="宋体" w:hAnsi="Times New Roman" w:cs="Times New Roman"/>
      <w:sz w:val="16"/>
      <w:szCs w:val="16"/>
    </w:rPr>
  </w:style>
  <w:style w:type="paragraph" w:styleId="aa">
    <w:name w:val="Balloon Text"/>
    <w:basedOn w:val="a"/>
    <w:link w:val="Char3"/>
    <w:uiPriority w:val="99"/>
    <w:semiHidden/>
    <w:unhideWhenUsed/>
    <w:rsid w:val="009006E2"/>
    <w:rPr>
      <w:sz w:val="18"/>
      <w:szCs w:val="18"/>
    </w:rPr>
  </w:style>
  <w:style w:type="character" w:customStyle="1" w:styleId="Char3">
    <w:name w:val="批注框文本 Char"/>
    <w:basedOn w:val="a0"/>
    <w:link w:val="aa"/>
    <w:uiPriority w:val="99"/>
    <w:semiHidden/>
    <w:rsid w:val="009006E2"/>
    <w:rPr>
      <w:rFonts w:ascii="Times New Roman" w:eastAsia="宋体" w:hAnsi="Times New Roman" w:cs="Times New Roman"/>
      <w:sz w:val="18"/>
      <w:szCs w:val="18"/>
    </w:rPr>
  </w:style>
  <w:style w:type="character" w:styleId="ab">
    <w:name w:val="annotation reference"/>
    <w:basedOn w:val="a0"/>
    <w:uiPriority w:val="99"/>
    <w:semiHidden/>
    <w:unhideWhenUsed/>
    <w:rsid w:val="00494F04"/>
    <w:rPr>
      <w:sz w:val="21"/>
      <w:szCs w:val="21"/>
    </w:rPr>
  </w:style>
  <w:style w:type="paragraph" w:styleId="ac">
    <w:name w:val="annotation text"/>
    <w:basedOn w:val="a"/>
    <w:link w:val="Char4"/>
    <w:uiPriority w:val="99"/>
    <w:semiHidden/>
    <w:unhideWhenUsed/>
    <w:rsid w:val="00494F04"/>
    <w:pPr>
      <w:jc w:val="left"/>
    </w:pPr>
    <w:rPr>
      <w:rFonts w:asciiTheme="minorHAnsi" w:eastAsiaTheme="minorEastAsia" w:hAnsiTheme="minorHAnsi" w:cstheme="minorBidi"/>
      <w:szCs w:val="22"/>
    </w:rPr>
  </w:style>
  <w:style w:type="character" w:customStyle="1" w:styleId="Char4">
    <w:name w:val="批注文字 Char"/>
    <w:basedOn w:val="a0"/>
    <w:link w:val="ac"/>
    <w:uiPriority w:val="99"/>
    <w:semiHidden/>
    <w:rsid w:val="00494F04"/>
  </w:style>
  <w:style w:type="paragraph" w:customStyle="1" w:styleId="p15">
    <w:name w:val="p15"/>
    <w:basedOn w:val="a"/>
    <w:rsid w:val="009A0775"/>
    <w:pPr>
      <w:widowControl/>
      <w:ind w:firstLine="420"/>
    </w:pPr>
    <w:rPr>
      <w:rFonts w:ascii="宋体" w:hAnsi="宋体" w:cs="宋体"/>
      <w:kern w:val="0"/>
      <w:szCs w:val="21"/>
    </w:rPr>
  </w:style>
  <w:style w:type="paragraph" w:customStyle="1" w:styleId="ad">
    <w:name w:val="一级条标题"/>
    <w:next w:val="a"/>
    <w:rsid w:val="009C0D29"/>
    <w:pPr>
      <w:tabs>
        <w:tab w:val="num" w:pos="1440"/>
      </w:tabs>
      <w:spacing w:beforeLines="50" w:afterLines="50"/>
      <w:ind w:left="1440" w:hanging="720"/>
      <w:outlineLvl w:val="2"/>
    </w:pPr>
    <w:rPr>
      <w:rFonts w:ascii="黑体" w:eastAsia="黑体" w:hAnsi="Times New Roman" w:cs="Times New Roman"/>
      <w:kern w:val="0"/>
      <w:szCs w:val="21"/>
    </w:rPr>
  </w:style>
  <w:style w:type="paragraph" w:styleId="ae">
    <w:name w:val="footnote text"/>
    <w:basedOn w:val="a"/>
    <w:link w:val="Char5"/>
    <w:uiPriority w:val="99"/>
    <w:semiHidden/>
    <w:unhideWhenUsed/>
    <w:rsid w:val="001D31D5"/>
    <w:pPr>
      <w:snapToGrid w:val="0"/>
      <w:jc w:val="left"/>
    </w:pPr>
    <w:rPr>
      <w:sz w:val="18"/>
      <w:szCs w:val="18"/>
    </w:rPr>
  </w:style>
  <w:style w:type="character" w:customStyle="1" w:styleId="Char5">
    <w:name w:val="脚注文本 Char"/>
    <w:basedOn w:val="a0"/>
    <w:link w:val="ae"/>
    <w:uiPriority w:val="99"/>
    <w:semiHidden/>
    <w:rsid w:val="001D31D5"/>
    <w:rPr>
      <w:rFonts w:ascii="Times New Roman" w:eastAsia="宋体" w:hAnsi="Times New Roman" w:cs="Times New Roman"/>
      <w:sz w:val="18"/>
      <w:szCs w:val="18"/>
    </w:rPr>
  </w:style>
  <w:style w:type="character" w:styleId="af">
    <w:name w:val="footnote reference"/>
    <w:basedOn w:val="a0"/>
    <w:uiPriority w:val="99"/>
    <w:semiHidden/>
    <w:unhideWhenUsed/>
    <w:rsid w:val="001D31D5"/>
    <w:rPr>
      <w:vertAlign w:val="superscript"/>
    </w:rPr>
  </w:style>
  <w:style w:type="paragraph" w:styleId="af0">
    <w:name w:val="Date"/>
    <w:basedOn w:val="a"/>
    <w:next w:val="a"/>
    <w:link w:val="Char6"/>
    <w:uiPriority w:val="99"/>
    <w:semiHidden/>
    <w:unhideWhenUsed/>
    <w:rsid w:val="00991A0F"/>
    <w:pPr>
      <w:ind w:leftChars="2500" w:left="100"/>
    </w:pPr>
  </w:style>
  <w:style w:type="character" w:customStyle="1" w:styleId="Char6">
    <w:name w:val="日期 Char"/>
    <w:basedOn w:val="a0"/>
    <w:link w:val="af0"/>
    <w:uiPriority w:val="99"/>
    <w:semiHidden/>
    <w:rsid w:val="00991A0F"/>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71464055">
      <w:bodyDiv w:val="1"/>
      <w:marLeft w:val="0"/>
      <w:marRight w:val="0"/>
      <w:marTop w:val="0"/>
      <w:marBottom w:val="0"/>
      <w:divBdr>
        <w:top w:val="none" w:sz="0" w:space="0" w:color="auto"/>
        <w:left w:val="none" w:sz="0" w:space="0" w:color="auto"/>
        <w:bottom w:val="none" w:sz="0" w:space="0" w:color="auto"/>
        <w:right w:val="none" w:sz="0" w:space="0" w:color="auto"/>
      </w:divBdr>
    </w:div>
    <w:div w:id="41860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I:\&#26032;&#24314;&#25991;&#20214;&#22841;%20(2)\&#21589;&#21520;&#27602;&#32032;&#25968;&#25454;&#20998;&#2651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I:\&#26032;&#24314;&#25991;&#20214;&#22841;%20(2)\&#21589;&#21520;&#27602;&#32032;&#25968;&#25454;&#20998;&#2651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975308641975313"/>
          <c:y val="0.10504201680672268"/>
          <c:w val="0.49176954732510286"/>
          <c:h val="0.63445378151260456"/>
        </c:manualLayout>
      </c:layout>
      <c:scatterChart>
        <c:scatterStyle val="lineMarker"/>
        <c:ser>
          <c:idx val="0"/>
          <c:order val="0"/>
          <c:spPr>
            <a:ln w="28575">
              <a:noFill/>
            </a:ln>
          </c:spPr>
          <c:marker>
            <c:symbol val="diamond"/>
            <c:size val="5"/>
            <c:spPr>
              <a:solidFill>
                <a:srgbClr val="000080"/>
              </a:solidFill>
              <a:ln>
                <a:solidFill>
                  <a:srgbClr val="000080"/>
                </a:solidFill>
                <a:prstDash val="solid"/>
              </a:ln>
            </c:spPr>
          </c:marker>
          <c:trendline>
            <c:spPr>
              <a:ln w="25400">
                <a:solidFill>
                  <a:srgbClr val="000000"/>
                </a:solidFill>
                <a:prstDash val="solid"/>
              </a:ln>
            </c:spPr>
            <c:trendlineType val="linear"/>
            <c:dispRSqr val="1"/>
            <c:dispEq val="1"/>
            <c:trendlineLbl>
              <c:layout>
                <c:manualLayout>
                  <c:x val="0.27223831588952618"/>
                  <c:y val="0.34811619135843602"/>
                </c:manualLayout>
              </c:layout>
              <c:tx>
                <c:rich>
                  <a:bodyPr/>
                  <a:lstStyle/>
                  <a:p>
                    <a:pPr>
                      <a:defRPr sz="950" b="0" i="0" u="none" strike="noStrike" baseline="0">
                        <a:solidFill>
                          <a:srgbClr val="000000"/>
                        </a:solidFill>
                        <a:latin typeface="宋体"/>
                        <a:ea typeface="宋体"/>
                        <a:cs typeface="宋体"/>
                      </a:defRPr>
                    </a:pPr>
                    <a:r>
                      <a:rPr lang="en-US" altLang="en-US" baseline="0"/>
                      <a:t>y = 1.040247 x - 119.406012 
R² = 0.998304  r</a:t>
                    </a:r>
                    <a:r>
                      <a:rPr lang="en-US" altLang="zh-CN" baseline="0"/>
                      <a:t>=0.9992</a:t>
                    </a:r>
                    <a:endParaRPr lang="en-US" altLang="en-US"/>
                  </a:p>
                </c:rich>
              </c:tx>
              <c:numFmt formatCode="0.000000_ " sourceLinked="0"/>
              <c:spPr>
                <a:noFill/>
                <a:ln w="25400">
                  <a:noFill/>
                </a:ln>
              </c:spPr>
            </c:trendlineLbl>
          </c:trendline>
          <c:xVal>
            <c:numRef>
              <c:f>线性!$B$10:$B$14</c:f>
              <c:numCache>
                <c:formatCode>General</c:formatCode>
                <c:ptCount val="5"/>
                <c:pt idx="0">
                  <c:v>520</c:v>
                </c:pt>
                <c:pt idx="1">
                  <c:v>1020</c:v>
                </c:pt>
                <c:pt idx="2">
                  <c:v>1020</c:v>
                </c:pt>
                <c:pt idx="3">
                  <c:v>2020</c:v>
                </c:pt>
                <c:pt idx="4">
                  <c:v>4850</c:v>
                </c:pt>
              </c:numCache>
            </c:numRef>
          </c:xVal>
          <c:yVal>
            <c:numRef>
              <c:f>线性!$C$10:$C$14</c:f>
              <c:numCache>
                <c:formatCode>0.0_ </c:formatCode>
                <c:ptCount val="5"/>
                <c:pt idx="0">
                  <c:v>504.16666666666708</c:v>
                </c:pt>
                <c:pt idx="1">
                  <c:v>920.8333333333336</c:v>
                </c:pt>
                <c:pt idx="2">
                  <c:v>954.16666666666663</c:v>
                </c:pt>
                <c:pt idx="3">
                  <c:v>1866.6666666666667</c:v>
                </c:pt>
                <c:pt idx="4">
                  <c:v>4966.6666666667443</c:v>
                </c:pt>
              </c:numCache>
            </c:numRef>
          </c:yVal>
        </c:ser>
        <c:axId val="168214912"/>
        <c:axId val="266408704"/>
      </c:scatterChart>
      <c:valAx>
        <c:axId val="168214912"/>
        <c:scaling>
          <c:orientation val="minMax"/>
        </c:scaling>
        <c:axPos val="b"/>
        <c:title>
          <c:tx>
            <c:rich>
              <a:bodyPr/>
              <a:lstStyle/>
              <a:p>
                <a:pPr>
                  <a:defRPr sz="1200" b="0" i="0" u="none" strike="noStrike" baseline="0">
                    <a:solidFill>
                      <a:srgbClr val="000000"/>
                    </a:solidFill>
                    <a:latin typeface="宋体"/>
                    <a:ea typeface="宋体"/>
                    <a:cs typeface="宋体"/>
                  </a:defRPr>
                </a:pPr>
                <a:r>
                  <a:rPr lang="en-US" altLang="en-US"/>
                  <a:t>HPLC</a:t>
                </a:r>
              </a:p>
            </c:rich>
          </c:tx>
          <c:layout>
            <c:manualLayout>
              <c:xMode val="edge"/>
              <c:yMode val="edge"/>
              <c:x val="0.40534979423868506"/>
              <c:y val="0.85714285714285765"/>
            </c:manualLayout>
          </c:layout>
          <c:spPr>
            <a:noFill/>
            <a:ln w="25400">
              <a:noFill/>
            </a:ln>
          </c:spPr>
        </c:title>
        <c:numFmt formatCode="General" sourceLinked="1"/>
        <c:majorTickMark val="in"/>
        <c:tickLblPos val="nextTo"/>
        <c:spPr>
          <a:ln w="3175">
            <a:solidFill>
              <a:srgbClr val="000000"/>
            </a:solidFill>
            <a:prstDash val="solid"/>
          </a:ln>
        </c:spPr>
        <c:txPr>
          <a:bodyPr rot="0" vert="horz"/>
          <a:lstStyle/>
          <a:p>
            <a:pPr>
              <a:defRPr sz="950" b="0" i="0" u="none" strike="noStrike" baseline="0">
                <a:solidFill>
                  <a:srgbClr val="000000"/>
                </a:solidFill>
                <a:latin typeface="宋体"/>
                <a:ea typeface="宋体"/>
                <a:cs typeface="宋体"/>
              </a:defRPr>
            </a:pPr>
            <a:endParaRPr lang="zh-CN"/>
          </a:p>
        </c:txPr>
        <c:crossAx val="266408704"/>
        <c:crosses val="autoZero"/>
        <c:crossBetween val="midCat"/>
      </c:valAx>
      <c:valAx>
        <c:axId val="266408704"/>
        <c:scaling>
          <c:orientation val="minMax"/>
        </c:scaling>
        <c:axPos val="l"/>
        <c:title>
          <c:tx>
            <c:rich>
              <a:bodyPr/>
              <a:lstStyle/>
              <a:p>
                <a:pPr>
                  <a:defRPr sz="1200" b="0" i="0" u="none" strike="noStrike" baseline="0">
                    <a:solidFill>
                      <a:srgbClr val="000000"/>
                    </a:solidFill>
                    <a:latin typeface="宋体"/>
                    <a:ea typeface="宋体"/>
                    <a:cs typeface="宋体"/>
                  </a:defRPr>
                </a:pPr>
                <a:r>
                  <a:rPr lang="en-US" altLang="en-US"/>
                  <a:t>ROSA</a:t>
                </a:r>
              </a:p>
            </c:rich>
          </c:tx>
          <c:layout>
            <c:manualLayout>
              <c:xMode val="edge"/>
              <c:yMode val="edge"/>
              <c:x val="2.4691358024691502E-2"/>
              <c:y val="0.34453781512605108"/>
            </c:manualLayout>
          </c:layout>
          <c:spPr>
            <a:noFill/>
            <a:ln w="25400">
              <a:noFill/>
            </a:ln>
          </c:spPr>
        </c:title>
        <c:numFmt formatCode="0.0_ " sourceLinked="1"/>
        <c:majorTickMark val="in"/>
        <c:tickLblPos val="nextTo"/>
        <c:spPr>
          <a:ln w="3175">
            <a:solidFill>
              <a:srgbClr val="000000"/>
            </a:solidFill>
            <a:prstDash val="solid"/>
          </a:ln>
        </c:spPr>
        <c:txPr>
          <a:bodyPr rot="0" vert="horz"/>
          <a:lstStyle/>
          <a:p>
            <a:pPr>
              <a:defRPr sz="950" b="0" i="0" u="none" strike="noStrike" baseline="0">
                <a:solidFill>
                  <a:srgbClr val="000000"/>
                </a:solidFill>
                <a:latin typeface="宋体"/>
                <a:ea typeface="宋体"/>
                <a:cs typeface="宋体"/>
              </a:defRPr>
            </a:pPr>
            <a:endParaRPr lang="zh-CN"/>
          </a:p>
        </c:txPr>
        <c:crossAx val="168214912"/>
        <c:crosses val="autoZero"/>
        <c:crossBetween val="midCat"/>
      </c:valAx>
    </c:plotArea>
    <c:plotVisOnly val="1"/>
    <c:dispBlanksAs val="gap"/>
  </c:chart>
  <c:spPr>
    <a:solidFill>
      <a:srgbClr val="FFFFFF"/>
    </a:solidFill>
    <a:ln w="9525">
      <a:noFill/>
    </a:ln>
  </c:spPr>
  <c:txPr>
    <a:bodyPr/>
    <a:lstStyle/>
    <a:p>
      <a:pPr>
        <a:defRPr sz="950" b="0" i="0" u="none" strike="noStrike" baseline="0">
          <a:solidFill>
            <a:srgbClr val="000000"/>
          </a:solidFill>
          <a:latin typeface="宋体"/>
          <a:ea typeface="宋体"/>
          <a:cs typeface="宋体"/>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9494584837545237"/>
          <c:y val="5.387205387205387E-2"/>
          <c:w val="0.49097472924188157"/>
          <c:h val="0.71043771043771042"/>
        </c:manualLayout>
      </c:layout>
      <c:scatterChart>
        <c:scatterStyle val="lineMarker"/>
        <c:ser>
          <c:idx val="0"/>
          <c:order val="0"/>
          <c:spPr>
            <a:ln w="28575">
              <a:noFill/>
            </a:ln>
          </c:spPr>
          <c:marker>
            <c:symbol val="diamond"/>
            <c:size val="5"/>
            <c:spPr>
              <a:solidFill>
                <a:srgbClr val="000080"/>
              </a:solidFill>
              <a:ln>
                <a:solidFill>
                  <a:srgbClr val="000080"/>
                </a:solidFill>
                <a:prstDash val="solid"/>
              </a:ln>
            </c:spPr>
          </c:marker>
          <c:trendline>
            <c:spPr>
              <a:ln w="25400">
                <a:solidFill>
                  <a:srgbClr val="000000"/>
                </a:solidFill>
                <a:prstDash val="solid"/>
              </a:ln>
            </c:spPr>
            <c:trendlineType val="linear"/>
            <c:dispRSqr val="1"/>
            <c:dispEq val="1"/>
            <c:trendlineLbl>
              <c:layout>
                <c:manualLayout>
                  <c:x val="0.29131167268351382"/>
                  <c:y val="0.40404005054923675"/>
                </c:manualLayout>
              </c:layout>
              <c:tx>
                <c:rich>
                  <a:bodyPr/>
                  <a:lstStyle/>
                  <a:p>
                    <a:pPr>
                      <a:defRPr sz="1200" b="0" i="0" u="none" strike="noStrike" baseline="0">
                        <a:solidFill>
                          <a:srgbClr val="000000"/>
                        </a:solidFill>
                        <a:latin typeface="宋体"/>
                        <a:ea typeface="宋体"/>
                        <a:cs typeface="宋体"/>
                      </a:defRPr>
                    </a:pPr>
                    <a:r>
                      <a:rPr lang="en-US" altLang="en-US" baseline="0"/>
                      <a:t>y = 1.164270 x - 5.487892 
R² = 0.997448 r</a:t>
                    </a:r>
                    <a:r>
                      <a:rPr lang="en-US" altLang="zh-CN" baseline="0"/>
                      <a:t>=0.9987</a:t>
                    </a:r>
                    <a:endParaRPr lang="en-US" altLang="en-US"/>
                  </a:p>
                </c:rich>
              </c:tx>
              <c:numFmt formatCode="0.000000_ " sourceLinked="0"/>
              <c:spPr>
                <a:noFill/>
                <a:ln w="25400">
                  <a:noFill/>
                </a:ln>
              </c:spPr>
            </c:trendlineLbl>
          </c:trendline>
          <c:xVal>
            <c:numRef>
              <c:f>线性!$B$26:$B$30</c:f>
              <c:numCache>
                <c:formatCode>General</c:formatCode>
                <c:ptCount val="5"/>
                <c:pt idx="0">
                  <c:v>800</c:v>
                </c:pt>
                <c:pt idx="1">
                  <c:v>1000</c:v>
                </c:pt>
                <c:pt idx="2">
                  <c:v>1090</c:v>
                </c:pt>
                <c:pt idx="3">
                  <c:v>1200</c:v>
                </c:pt>
                <c:pt idx="4">
                  <c:v>4560</c:v>
                </c:pt>
              </c:numCache>
            </c:numRef>
          </c:xVal>
          <c:yVal>
            <c:numRef>
              <c:f>线性!$C$26:$C$30</c:f>
              <c:numCache>
                <c:formatCode>0.0_ </c:formatCode>
                <c:ptCount val="5"/>
                <c:pt idx="0">
                  <c:v>1070.8333333333214</c:v>
                </c:pt>
                <c:pt idx="1">
                  <c:v>1140</c:v>
                </c:pt>
                <c:pt idx="2">
                  <c:v>1150</c:v>
                </c:pt>
                <c:pt idx="3">
                  <c:v>1366.6666666666667</c:v>
                </c:pt>
                <c:pt idx="4">
                  <c:v>5316</c:v>
                </c:pt>
              </c:numCache>
            </c:numRef>
          </c:yVal>
        </c:ser>
        <c:axId val="203023488"/>
        <c:axId val="203025408"/>
      </c:scatterChart>
      <c:valAx>
        <c:axId val="203023488"/>
        <c:scaling>
          <c:orientation val="minMax"/>
        </c:scaling>
        <c:axPos val="b"/>
        <c:title>
          <c:tx>
            <c:rich>
              <a:bodyPr/>
              <a:lstStyle/>
              <a:p>
                <a:pPr>
                  <a:defRPr sz="1200" b="0" i="0" u="none" strike="noStrike" baseline="0">
                    <a:solidFill>
                      <a:srgbClr val="000000"/>
                    </a:solidFill>
                    <a:latin typeface="宋体"/>
                    <a:ea typeface="宋体"/>
                    <a:cs typeface="宋体"/>
                  </a:defRPr>
                </a:pPr>
                <a:r>
                  <a:rPr lang="en-US" altLang="en-US"/>
                  <a:t>HPLC</a:t>
                </a:r>
              </a:p>
            </c:rich>
          </c:tx>
          <c:layout>
            <c:manualLayout>
              <c:xMode val="edge"/>
              <c:yMode val="edge"/>
              <c:x val="0.40794223826714832"/>
              <c:y val="0.87542087542088221"/>
            </c:manualLayout>
          </c:layout>
          <c:spPr>
            <a:noFill/>
            <a:ln w="25400">
              <a:noFill/>
            </a:ln>
          </c:spPr>
        </c:title>
        <c:numFmt formatCode="General" sourceLinked="1"/>
        <c:majorTickMark val="in"/>
        <c:tickLblPos val="nextTo"/>
        <c:spPr>
          <a:ln w="3175">
            <a:solidFill>
              <a:srgbClr val="000000"/>
            </a:solidFill>
            <a:prstDash val="solid"/>
          </a:ln>
        </c:spPr>
        <c:txPr>
          <a:bodyPr rot="0" vert="horz"/>
          <a:lstStyle/>
          <a:p>
            <a:pPr>
              <a:defRPr sz="1200" b="0" i="0" u="none" strike="noStrike" baseline="0">
                <a:solidFill>
                  <a:srgbClr val="000000"/>
                </a:solidFill>
                <a:latin typeface="宋体"/>
                <a:ea typeface="宋体"/>
                <a:cs typeface="宋体"/>
              </a:defRPr>
            </a:pPr>
            <a:endParaRPr lang="zh-CN"/>
          </a:p>
        </c:txPr>
        <c:crossAx val="203025408"/>
        <c:crosses val="autoZero"/>
        <c:crossBetween val="midCat"/>
      </c:valAx>
      <c:valAx>
        <c:axId val="203025408"/>
        <c:scaling>
          <c:orientation val="minMax"/>
        </c:scaling>
        <c:axPos val="l"/>
        <c:title>
          <c:tx>
            <c:rich>
              <a:bodyPr/>
              <a:lstStyle/>
              <a:p>
                <a:pPr>
                  <a:defRPr sz="1200" b="0" i="0" u="none" strike="noStrike" baseline="0">
                    <a:solidFill>
                      <a:srgbClr val="000000"/>
                    </a:solidFill>
                    <a:latin typeface="宋体"/>
                    <a:ea typeface="宋体"/>
                    <a:cs typeface="宋体"/>
                  </a:defRPr>
                </a:pPr>
                <a:r>
                  <a:rPr lang="en-US" altLang="en-US"/>
                  <a:t>ROSA</a:t>
                </a:r>
              </a:p>
            </c:rich>
          </c:tx>
          <c:layout>
            <c:manualLayout>
              <c:xMode val="edge"/>
              <c:yMode val="edge"/>
              <c:x val="2.7075812274368616E-2"/>
              <c:y val="0.34680134680134678"/>
            </c:manualLayout>
          </c:layout>
          <c:spPr>
            <a:noFill/>
            <a:ln w="25400">
              <a:noFill/>
            </a:ln>
          </c:spPr>
        </c:title>
        <c:numFmt formatCode="0.0_ " sourceLinked="1"/>
        <c:majorTickMark val="in"/>
        <c:tickLblPos val="nextTo"/>
        <c:spPr>
          <a:ln w="3175">
            <a:solidFill>
              <a:srgbClr val="000000"/>
            </a:solidFill>
            <a:prstDash val="solid"/>
          </a:ln>
        </c:spPr>
        <c:txPr>
          <a:bodyPr rot="0" vert="horz"/>
          <a:lstStyle/>
          <a:p>
            <a:pPr>
              <a:defRPr sz="1200" b="0" i="0" u="none" strike="noStrike" baseline="0">
                <a:solidFill>
                  <a:srgbClr val="000000"/>
                </a:solidFill>
                <a:latin typeface="宋体"/>
                <a:ea typeface="宋体"/>
                <a:cs typeface="宋体"/>
              </a:defRPr>
            </a:pPr>
            <a:endParaRPr lang="zh-CN"/>
          </a:p>
        </c:txPr>
        <c:crossAx val="203023488"/>
        <c:crosses val="autoZero"/>
        <c:crossBetween val="midCat"/>
      </c:valAx>
      <c:spPr>
        <a:noFill/>
        <a:ln w="25400">
          <a:noFill/>
        </a:ln>
      </c:spPr>
    </c:plotArea>
    <c:plotVisOnly val="1"/>
    <c:dispBlanksAs val="gap"/>
  </c:chart>
  <c:spPr>
    <a:solidFill>
      <a:srgbClr val="FFFFFF"/>
    </a:solidFill>
    <a:ln w="9525">
      <a:noFill/>
    </a:ln>
  </c:spPr>
  <c:txPr>
    <a:bodyPr/>
    <a:lstStyle/>
    <a:p>
      <a:pPr>
        <a:defRPr sz="1200" b="0" i="0" u="none" strike="noStrike" baseline="0">
          <a:solidFill>
            <a:srgbClr val="000000"/>
          </a:solidFill>
          <a:latin typeface="宋体"/>
          <a:ea typeface="宋体"/>
          <a:cs typeface="宋体"/>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97FB1-C68C-4C1F-8BC2-C2701DB8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1459</Words>
  <Characters>8317</Characters>
  <Application>Microsoft Office Word</Application>
  <DocSecurity>0</DocSecurity>
  <Lines>69</Lines>
  <Paragraphs>19</Paragraphs>
  <ScaleCrop>false</ScaleCrop>
  <Company>Lenovo (Beijing) Limited</Company>
  <LinksUpToDate>false</LinksUpToDate>
  <CharactersWithSpaces>9757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Lenovo User</cp:lastModifiedBy>
  <cp:revision>3</cp:revision>
  <dcterms:created xsi:type="dcterms:W3CDTF">2014-10-29T02:59:00Z</dcterms:created>
  <dcterms:modified xsi:type="dcterms:W3CDTF">2014-10-29T03:04:00Z</dcterms:modified>
</cp:coreProperties>
</file>